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47" w:rsidRPr="00645547" w:rsidRDefault="00645547" w:rsidP="00645547">
      <w:pPr>
        <w:spacing w:after="0" w:line="240" w:lineRule="auto"/>
        <w:rPr>
          <w:rFonts w:ascii="Arial Narrow" w:hAnsi="Arial Narrow" w:cs="Times New Roman"/>
          <w:b/>
          <w:bCs/>
          <w:sz w:val="96"/>
          <w:szCs w:val="96"/>
        </w:rPr>
      </w:pPr>
      <w:r>
        <w:rPr>
          <w:rFonts w:ascii="Calibri" w:hAnsi="Calibri" w:cs="Times New Roman"/>
          <w:noProof/>
        </w:rPr>
        <w:drawing>
          <wp:inline distT="0" distB="0" distL="0" distR="0">
            <wp:extent cx="1619250" cy="1600200"/>
            <wp:effectExtent l="19050" t="0" r="0" b="0"/>
            <wp:docPr id="1" name="Bilde 1" descr="2013 - 4.14 - med Fantomet - logo 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2013 - 4.14 - med Fantomet - logo n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47">
        <w:rPr>
          <w:rFonts w:ascii="Arial Narrow" w:hAnsi="Arial Narrow" w:cs="Times New Roman"/>
          <w:b/>
          <w:bCs/>
          <w:sz w:val="96"/>
          <w:szCs w:val="96"/>
        </w:rPr>
        <w:t xml:space="preserve"> </w:t>
      </w:r>
      <w:r w:rsidRPr="0024261B">
        <w:rPr>
          <w:rFonts w:ascii="Arial Narrow" w:hAnsi="Arial Narrow" w:cs="Times New Roman"/>
          <w:b/>
          <w:bCs/>
          <w:sz w:val="96"/>
          <w:szCs w:val="96"/>
        </w:rPr>
        <w:t>4.14-skvadronen</w:t>
      </w:r>
      <w:r w:rsidRPr="00645547">
        <w:rPr>
          <w:rFonts w:ascii="Arial Narrow" w:hAnsi="Arial Narrow" w:cs="Times New Roman"/>
          <w:b/>
          <w:bCs/>
          <w:sz w:val="96"/>
          <w:szCs w:val="96"/>
        </w:rPr>
        <w:t xml:space="preserve"> </w:t>
      </w:r>
    </w:p>
    <w:p w:rsidR="00645547" w:rsidRPr="00645547" w:rsidRDefault="00645547" w:rsidP="00645547">
      <w:pPr>
        <w:spacing w:after="0" w:line="240" w:lineRule="auto"/>
        <w:jc w:val="center"/>
        <w:rPr>
          <w:rFonts w:ascii="Calibri" w:hAnsi="Calibri" w:cs="Times New Roman"/>
        </w:rPr>
      </w:pPr>
    </w:p>
    <w:p w:rsidR="00645547" w:rsidRPr="0024261B" w:rsidRDefault="00645547" w:rsidP="00645547">
      <w:pPr>
        <w:spacing w:after="0" w:line="240" w:lineRule="auto"/>
        <w:jc w:val="center"/>
        <w:rPr>
          <w:rFonts w:ascii="Arial" w:hAnsi="Arial" w:cs="Arial"/>
        </w:rPr>
      </w:pPr>
      <w:r w:rsidRPr="0024261B">
        <w:rPr>
          <w:rFonts w:ascii="Arial" w:hAnsi="Arial" w:cs="Arial"/>
        </w:rPr>
        <w:t xml:space="preserve">MELDING NR </w:t>
      </w:r>
      <w:r w:rsidR="00897CCD">
        <w:rPr>
          <w:rFonts w:ascii="Arial" w:hAnsi="Arial" w:cs="Arial"/>
        </w:rPr>
        <w:t>5</w:t>
      </w:r>
      <w:r w:rsidRPr="0024261B">
        <w:rPr>
          <w:rFonts w:ascii="Arial" w:hAnsi="Arial" w:cs="Arial"/>
        </w:rPr>
        <w:t xml:space="preserve"> – 201</w:t>
      </w:r>
      <w:r w:rsidR="002B3E16" w:rsidRPr="0024261B">
        <w:rPr>
          <w:rFonts w:ascii="Arial" w:hAnsi="Arial" w:cs="Arial"/>
        </w:rPr>
        <w:t>4</w:t>
      </w:r>
      <w:r w:rsidRPr="0024261B">
        <w:rPr>
          <w:rFonts w:ascii="Arial" w:hAnsi="Arial" w:cs="Arial"/>
        </w:rPr>
        <w:t xml:space="preserve"> (</w:t>
      </w:r>
      <w:r w:rsidR="00897CCD">
        <w:rPr>
          <w:rFonts w:ascii="Arial" w:hAnsi="Arial" w:cs="Arial"/>
        </w:rPr>
        <w:t>ons</w:t>
      </w:r>
      <w:r w:rsidR="00DB5284" w:rsidRPr="0024261B">
        <w:rPr>
          <w:rFonts w:ascii="Arial" w:hAnsi="Arial" w:cs="Arial"/>
        </w:rPr>
        <w:t>dag</w:t>
      </w:r>
      <w:r w:rsidRPr="0024261B">
        <w:rPr>
          <w:rFonts w:ascii="Arial" w:hAnsi="Arial" w:cs="Arial"/>
        </w:rPr>
        <w:t xml:space="preserve"> </w:t>
      </w:r>
      <w:r w:rsidR="00353EDF" w:rsidRPr="0024261B">
        <w:rPr>
          <w:rFonts w:ascii="Arial" w:hAnsi="Arial" w:cs="Arial"/>
        </w:rPr>
        <w:t>28</w:t>
      </w:r>
      <w:r w:rsidR="008E2E48" w:rsidRPr="0024261B">
        <w:rPr>
          <w:rFonts w:ascii="Arial" w:hAnsi="Arial" w:cs="Arial"/>
        </w:rPr>
        <w:t xml:space="preserve">. </w:t>
      </w:r>
      <w:r w:rsidR="00897CCD">
        <w:rPr>
          <w:rFonts w:ascii="Arial" w:hAnsi="Arial" w:cs="Arial"/>
        </w:rPr>
        <w:t>mai</w:t>
      </w:r>
      <w:r w:rsidRPr="0024261B">
        <w:rPr>
          <w:rFonts w:ascii="Arial" w:hAnsi="Arial" w:cs="Arial"/>
        </w:rPr>
        <w:t xml:space="preserve"> 201</w:t>
      </w:r>
      <w:r w:rsidR="002B3E16" w:rsidRPr="0024261B">
        <w:rPr>
          <w:rFonts w:ascii="Arial" w:hAnsi="Arial" w:cs="Arial"/>
        </w:rPr>
        <w:t>4</w:t>
      </w:r>
      <w:r w:rsidRPr="0024261B">
        <w:rPr>
          <w:rFonts w:ascii="Arial" w:hAnsi="Arial" w:cs="Arial"/>
        </w:rPr>
        <w:t>)</w:t>
      </w:r>
    </w:p>
    <w:p w:rsidR="00157877" w:rsidRDefault="00157877" w:rsidP="00EB7475">
      <w:pPr>
        <w:spacing w:after="0" w:line="240" w:lineRule="auto"/>
        <w:rPr>
          <w:rFonts w:ascii="Trebuchet MS" w:hAnsi="Trebuchet MS"/>
          <w:sz w:val="44"/>
          <w:szCs w:val="44"/>
        </w:rPr>
      </w:pPr>
    </w:p>
    <w:p w:rsidR="0024261B" w:rsidRDefault="00897CCD" w:rsidP="00EB7475">
      <w:pPr>
        <w:spacing w:after="0" w:line="240" w:lineRule="auto"/>
        <w:rPr>
          <w:rFonts w:ascii="Trebuchet MS" w:hAnsi="Trebuchet MS"/>
          <w:sz w:val="52"/>
          <w:szCs w:val="52"/>
        </w:rPr>
      </w:pPr>
      <w:proofErr w:type="spellStart"/>
      <w:r>
        <w:rPr>
          <w:rFonts w:ascii="Trebuchet MS" w:hAnsi="Trebuchet MS"/>
          <w:sz w:val="52"/>
          <w:szCs w:val="52"/>
        </w:rPr>
        <w:t>PFU-møte</w:t>
      </w:r>
      <w:proofErr w:type="spellEnd"/>
      <w:r>
        <w:rPr>
          <w:rFonts w:ascii="Trebuchet MS" w:hAnsi="Trebuchet MS"/>
          <w:sz w:val="52"/>
          <w:szCs w:val="52"/>
        </w:rPr>
        <w:t xml:space="preserve"> uten 4.14-fellelser!</w:t>
      </w:r>
    </w:p>
    <w:p w:rsidR="0024261B" w:rsidRDefault="0024261B" w:rsidP="00EB7475">
      <w:pPr>
        <w:spacing w:after="0" w:line="240" w:lineRule="auto"/>
        <w:rPr>
          <w:rFonts w:ascii="Trebuchet MS" w:hAnsi="Trebuchet MS"/>
        </w:rPr>
      </w:pPr>
    </w:p>
    <w:p w:rsidR="00C605E1" w:rsidRPr="0024261B" w:rsidRDefault="00C605E1" w:rsidP="00EB7475">
      <w:pPr>
        <w:spacing w:after="0" w:line="240" w:lineRule="auto"/>
        <w:rPr>
          <w:rFonts w:ascii="Trebuchet MS" w:hAnsi="Trebuchet MS"/>
        </w:rPr>
      </w:pPr>
    </w:p>
    <w:p w:rsidR="002B3E16" w:rsidRDefault="0024261B" w:rsidP="007C2D75">
      <w:pPr>
        <w:spacing w:after="0" w:line="240" w:lineRule="auto"/>
        <w:rPr>
          <w:rFonts w:ascii="Trebuchet MS" w:hAnsi="Trebuchet MS" w:cs="Arial"/>
          <w:sz w:val="72"/>
          <w:szCs w:val="72"/>
        </w:rPr>
      </w:pPr>
      <w:r w:rsidRPr="0024261B">
        <w:rPr>
          <w:rFonts w:ascii="Trebuchet MS" w:hAnsi="Trebuchet MS" w:cs="Arial"/>
          <w:noProof/>
          <w:sz w:val="72"/>
          <w:szCs w:val="72"/>
        </w:rPr>
        <w:drawing>
          <wp:inline distT="0" distB="0" distL="0" distR="0">
            <wp:extent cx="5760720" cy="3649599"/>
            <wp:effectExtent l="19050" t="0" r="11430" b="8001"/>
            <wp:docPr id="2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261B" w:rsidRPr="0024261B" w:rsidRDefault="0024261B" w:rsidP="007C2D75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9946E0" w:rsidRDefault="009946E0" w:rsidP="007C2D75">
      <w:pPr>
        <w:spacing w:after="0" w:line="240" w:lineRule="auto"/>
        <w:rPr>
          <w:rFonts w:ascii="Arial" w:hAnsi="Arial" w:cs="Arial"/>
        </w:rPr>
      </w:pPr>
    </w:p>
    <w:p w:rsidR="009946E0" w:rsidRPr="00706EBE" w:rsidRDefault="00897CCD" w:rsidP="007C2D75">
      <w:pPr>
        <w:spacing w:after="0" w:line="240" w:lineRule="auto"/>
        <w:rPr>
          <w:rFonts w:ascii="Arial" w:hAnsi="Arial" w:cs="Arial"/>
        </w:rPr>
      </w:pPr>
      <w:r w:rsidRPr="00706EBE">
        <w:rPr>
          <w:rFonts w:ascii="Arial" w:hAnsi="Arial" w:cs="Arial"/>
          <w:sz w:val="24"/>
          <w:szCs w:val="24"/>
        </w:rPr>
        <w:t xml:space="preserve">For første gang på lenge har PFU avviklet et møte uten at det ble avgitt fellende uttalelser med henvisning til brudd på punkt 4.14. I løpet av de fem første møtene har PFU dermed avsagt åtte fellende uttalelser (hvorav to </w:t>
      </w:r>
      <w:proofErr w:type="gramStart"/>
      <w:r w:rsidRPr="00706EBE">
        <w:rPr>
          <w:rFonts w:ascii="Arial" w:hAnsi="Arial" w:cs="Arial"/>
          <w:sz w:val="24"/>
          <w:szCs w:val="24"/>
        </w:rPr>
        <w:t>kritikk</w:t>
      </w:r>
      <w:proofErr w:type="gramEnd"/>
      <w:r w:rsidRPr="00706EBE">
        <w:rPr>
          <w:rFonts w:ascii="Arial" w:hAnsi="Arial" w:cs="Arial"/>
          <w:sz w:val="24"/>
          <w:szCs w:val="24"/>
        </w:rPr>
        <w:t xml:space="preserve">) med henvisning til punktet om samtidig imøtegåelse. Det er </w:t>
      </w:r>
      <w:r w:rsidR="00706EBE" w:rsidRPr="00706EBE">
        <w:rPr>
          <w:rFonts w:ascii="Arial" w:hAnsi="Arial" w:cs="Arial"/>
          <w:sz w:val="24"/>
          <w:szCs w:val="24"/>
        </w:rPr>
        <w:t>seks</w:t>
      </w:r>
      <w:r w:rsidRPr="00706EBE">
        <w:rPr>
          <w:rFonts w:ascii="Arial" w:hAnsi="Arial" w:cs="Arial"/>
          <w:sz w:val="24"/>
          <w:szCs w:val="24"/>
        </w:rPr>
        <w:t xml:space="preserve"> færre </w:t>
      </w:r>
      <w:proofErr w:type="spellStart"/>
      <w:r w:rsidRPr="00706EBE">
        <w:rPr>
          <w:rFonts w:ascii="Arial" w:hAnsi="Arial" w:cs="Arial"/>
          <w:sz w:val="24"/>
          <w:szCs w:val="24"/>
        </w:rPr>
        <w:t>fellelser</w:t>
      </w:r>
      <w:proofErr w:type="spellEnd"/>
      <w:r w:rsidRPr="00706EBE">
        <w:rPr>
          <w:rFonts w:ascii="Arial" w:hAnsi="Arial" w:cs="Arial"/>
          <w:sz w:val="24"/>
          <w:szCs w:val="24"/>
        </w:rPr>
        <w:t xml:space="preserve"> enn etter de fem første møtene i fjor. De redaksjonene som så langt i år er felt er: Telemarksavisa (kritikk), Brønnøysunds Avis, </w:t>
      </w:r>
      <w:proofErr w:type="spellStart"/>
      <w:r w:rsidRPr="00706EBE">
        <w:rPr>
          <w:rFonts w:ascii="Arial" w:hAnsi="Arial" w:cs="Arial"/>
          <w:sz w:val="24"/>
          <w:szCs w:val="24"/>
        </w:rPr>
        <w:t>Østhavet</w:t>
      </w:r>
      <w:proofErr w:type="spellEnd"/>
      <w:r w:rsidRPr="00706EBE">
        <w:rPr>
          <w:rFonts w:ascii="Arial" w:hAnsi="Arial" w:cs="Arial"/>
          <w:sz w:val="24"/>
          <w:szCs w:val="24"/>
        </w:rPr>
        <w:t>, Namdalsavisa, Stavanger Aftenblad, TV2, Bodø NU, Hordaland og Offisersbladet (kritikk).</w:t>
      </w:r>
    </w:p>
    <w:p w:rsidR="00C605E1" w:rsidRDefault="00C605E1" w:rsidP="007C2D75">
      <w:pPr>
        <w:spacing w:after="0" w:line="240" w:lineRule="auto"/>
        <w:rPr>
          <w:rFonts w:ascii="Arial" w:hAnsi="Arial" w:cs="Arial"/>
        </w:rPr>
      </w:pPr>
    </w:p>
    <w:p w:rsidR="008E37DC" w:rsidRPr="00706EBE" w:rsidRDefault="008E37DC" w:rsidP="007C2D75">
      <w:pPr>
        <w:spacing w:after="0" w:line="240" w:lineRule="auto"/>
        <w:rPr>
          <w:rFonts w:ascii="Arial" w:hAnsi="Arial" w:cs="Arial"/>
        </w:rPr>
      </w:pPr>
    </w:p>
    <w:p w:rsidR="00C605E1" w:rsidRPr="00E464CE" w:rsidRDefault="00706EBE" w:rsidP="007C2D75">
      <w:pPr>
        <w:spacing w:after="0" w:line="240" w:lineRule="auto"/>
        <w:rPr>
          <w:rFonts w:ascii="Trebuchet MS" w:hAnsi="Trebuchet MS" w:cs="Arial"/>
          <w:sz w:val="44"/>
          <w:szCs w:val="44"/>
        </w:rPr>
      </w:pPr>
      <w:r w:rsidRPr="00E464CE">
        <w:rPr>
          <w:rFonts w:ascii="Trebuchet MS" w:hAnsi="Trebuchet MS" w:cs="Arial"/>
          <w:sz w:val="44"/>
          <w:szCs w:val="44"/>
        </w:rPr>
        <w:lastRenderedPageBreak/>
        <w:t>Men: Ingen grunn til å slappe av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4.14-skvadronen oppfordrer redaksjonene til å jobbe med kravet om samtidig imøtegåelse internt. Vi minner om de ti viktigste huskereglene: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1. Samtidig imøtegåelse gjelder faktiske opplysninger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 xml:space="preserve">2. Den angrepne skal klart </w:t>
      </w:r>
      <w:r w:rsidR="00095ADC">
        <w:rPr>
          <w:rFonts w:ascii="Arial" w:hAnsi="Arial" w:cs="Arial"/>
        </w:rPr>
        <w:t>og</w:t>
      </w:r>
      <w:r w:rsidRPr="00E464CE">
        <w:rPr>
          <w:rFonts w:ascii="Arial" w:hAnsi="Arial" w:cs="Arial"/>
        </w:rPr>
        <w:t xml:space="preserve"> tydelig bli presentert for de fullstendige beskyldningene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3. Redaksjonen må anstrenge seg for å få den angrepne i tale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4. Den angrepne må få rimelig tid til å svare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5. Samtidig imøtegåelsesrett gjelder også bedrifter, offentlig etater og organisasjoner</w:t>
      </w:r>
    </w:p>
    <w:p w:rsidR="00706EBE" w:rsidRPr="00E464CE" w:rsidRDefault="00706EB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6. Det er den angrepne</w:t>
      </w:r>
      <w:r w:rsidR="00E714C5" w:rsidRPr="00E464CE">
        <w:rPr>
          <w:rFonts w:ascii="Arial" w:hAnsi="Arial" w:cs="Arial"/>
        </w:rPr>
        <w:t xml:space="preserve"> selv</w:t>
      </w:r>
      <w:r w:rsidRPr="00E464CE">
        <w:rPr>
          <w:rFonts w:ascii="Arial" w:hAnsi="Arial" w:cs="Arial"/>
        </w:rPr>
        <w:t xml:space="preserve"> som har imøtegåelsesrett, ikke overordnede eller andre</w:t>
      </w:r>
    </w:p>
    <w:p w:rsidR="00706EBE" w:rsidRPr="00E464CE" w:rsidRDefault="00E714C5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7. Anonymisering opphever sjelden imøtegåelsesretten</w:t>
      </w:r>
    </w:p>
    <w:p w:rsidR="00E714C5" w:rsidRPr="00E464CE" w:rsidRDefault="00E714C5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8. Pass på: Uttalelser fra misfornøyde kunder, forsmådde ektefeller, oppsagte osv.</w:t>
      </w:r>
    </w:p>
    <w:p w:rsidR="00E714C5" w:rsidRPr="00E464CE" w:rsidRDefault="00E714C5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9. Imøtegåelsesretten gjelder i prins</w:t>
      </w:r>
      <w:r w:rsidR="00095ADC">
        <w:rPr>
          <w:rFonts w:ascii="Arial" w:hAnsi="Arial" w:cs="Arial"/>
        </w:rPr>
        <w:t>ippet alle journalistiske sjang</w:t>
      </w:r>
      <w:r w:rsidRPr="00E464CE">
        <w:rPr>
          <w:rFonts w:ascii="Arial" w:hAnsi="Arial" w:cs="Arial"/>
        </w:rPr>
        <w:t>re</w:t>
      </w:r>
    </w:p>
    <w:p w:rsidR="00E714C5" w:rsidRPr="00E464CE" w:rsidRDefault="00E714C5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>10. Redaksjonen bør dokumentere forsøkene å få den angrepne i tale</w:t>
      </w:r>
    </w:p>
    <w:p w:rsidR="00E714C5" w:rsidRDefault="00E714C5" w:rsidP="007C2D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14C5" w:rsidRPr="00E464CE" w:rsidRDefault="00E714C5" w:rsidP="007C2D75">
      <w:pPr>
        <w:spacing w:after="0" w:line="240" w:lineRule="auto"/>
        <w:rPr>
          <w:rFonts w:ascii="Trebuchet MS" w:hAnsi="Trebuchet MS" w:cs="Arial"/>
          <w:sz w:val="44"/>
          <w:szCs w:val="44"/>
        </w:rPr>
      </w:pPr>
      <w:r w:rsidRPr="00E464CE">
        <w:rPr>
          <w:rFonts w:ascii="Trebuchet MS" w:hAnsi="Trebuchet MS" w:cs="Arial"/>
          <w:sz w:val="44"/>
          <w:szCs w:val="44"/>
        </w:rPr>
        <w:t xml:space="preserve">Ingen skjerping i </w:t>
      </w:r>
      <w:proofErr w:type="spellStart"/>
      <w:r w:rsidRPr="00E464CE">
        <w:rPr>
          <w:rFonts w:ascii="Trebuchet MS" w:hAnsi="Trebuchet MS" w:cs="Arial"/>
          <w:sz w:val="44"/>
          <w:szCs w:val="44"/>
        </w:rPr>
        <w:t>PFUs</w:t>
      </w:r>
      <w:proofErr w:type="spellEnd"/>
      <w:r w:rsidRPr="00E464CE">
        <w:rPr>
          <w:rFonts w:ascii="Trebuchet MS" w:hAnsi="Trebuchet MS" w:cs="Arial"/>
          <w:sz w:val="44"/>
          <w:szCs w:val="44"/>
        </w:rPr>
        <w:t xml:space="preserve"> praksis</w:t>
      </w:r>
    </w:p>
    <w:p w:rsidR="00E714C5" w:rsidRDefault="00E714C5" w:rsidP="00E7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4CE">
        <w:rPr>
          <w:rFonts w:ascii="Arial" w:eastAsia="Calibri" w:hAnsi="Arial" w:cs="Arial"/>
        </w:rPr>
        <w:t xml:space="preserve">Etter vedtak i </w:t>
      </w:r>
      <w:proofErr w:type="spellStart"/>
      <w:r w:rsidRPr="00E464CE">
        <w:rPr>
          <w:rFonts w:ascii="Arial" w:eastAsia="Calibri" w:hAnsi="Arial" w:cs="Arial"/>
        </w:rPr>
        <w:t>NR-styret</w:t>
      </w:r>
      <w:proofErr w:type="spellEnd"/>
      <w:r w:rsidRPr="00E464CE">
        <w:rPr>
          <w:rFonts w:ascii="Arial" w:eastAsia="Calibri" w:hAnsi="Arial" w:cs="Arial"/>
        </w:rPr>
        <w:t xml:space="preserve"> sekretariatet gjennomgått samtlige 4.14-saker (frifinnelser og </w:t>
      </w:r>
      <w:proofErr w:type="spellStart"/>
      <w:r w:rsidRPr="00E464CE">
        <w:rPr>
          <w:rFonts w:ascii="Arial" w:eastAsia="Calibri" w:hAnsi="Arial" w:cs="Arial"/>
        </w:rPr>
        <w:t>fellelser</w:t>
      </w:r>
      <w:proofErr w:type="spellEnd"/>
      <w:r w:rsidRPr="00E464CE">
        <w:rPr>
          <w:rFonts w:ascii="Arial" w:eastAsia="Calibri" w:hAnsi="Arial" w:cs="Arial"/>
        </w:rPr>
        <w:t xml:space="preserve">) i 2013 og så langt i 2014.  </w:t>
      </w:r>
      <w:r w:rsidRPr="00E464CE">
        <w:rPr>
          <w:rFonts w:ascii="Arial" w:eastAsia="Times New Roman" w:hAnsi="Arial" w:cs="Arial"/>
        </w:rPr>
        <w:t xml:space="preserve">På bakgrunn av gjennomgangen, holdt opp mot stikkprøver blant tidligere saker, trakk sekretariatet den konklusjon at det ikke er dekning for å si at </w:t>
      </w:r>
      <w:proofErr w:type="spellStart"/>
      <w:r w:rsidRPr="00E464CE">
        <w:rPr>
          <w:rFonts w:ascii="Arial" w:eastAsia="Times New Roman" w:hAnsi="Arial" w:cs="Arial"/>
        </w:rPr>
        <w:t>PFUs</w:t>
      </w:r>
      <w:proofErr w:type="spellEnd"/>
      <w:r w:rsidRPr="00E464CE">
        <w:rPr>
          <w:rFonts w:ascii="Arial" w:eastAsia="Times New Roman" w:hAnsi="Arial" w:cs="Arial"/>
        </w:rPr>
        <w:t xml:space="preserve"> praksis mht praktiseringen av 4.14 har blitt strengere det siste året. Av 42 </w:t>
      </w:r>
      <w:proofErr w:type="spellStart"/>
      <w:r w:rsidRPr="00E464CE">
        <w:rPr>
          <w:rFonts w:ascii="Arial" w:eastAsia="Times New Roman" w:hAnsi="Arial" w:cs="Arial"/>
        </w:rPr>
        <w:t>fellelsene</w:t>
      </w:r>
      <w:proofErr w:type="spellEnd"/>
      <w:r w:rsidRPr="00E464CE">
        <w:rPr>
          <w:rFonts w:ascii="Arial" w:eastAsia="Times New Roman" w:hAnsi="Arial" w:cs="Arial"/>
        </w:rPr>
        <w:t xml:space="preserve"> på 4.14 som er med i utvalget, gjelder de aller fleste konkrete og helt åpenbart sterke beskyldninger av faktisk art, hvor det ikke er innhentet samtidig imøtegåelse, og hvor bruddet – etter sekretariatets mening – er nokså åpenbart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4C5" w:rsidRDefault="00E714C5" w:rsidP="007C2D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4CE" w:rsidRPr="00E464CE" w:rsidRDefault="00E464CE" w:rsidP="007C2D75">
      <w:pPr>
        <w:spacing w:after="0" w:line="240" w:lineRule="auto"/>
        <w:rPr>
          <w:rFonts w:ascii="Arial" w:hAnsi="Arial" w:cs="Arial"/>
        </w:rPr>
      </w:pPr>
      <w:r w:rsidRPr="00E464CE">
        <w:rPr>
          <w:rFonts w:ascii="Arial" w:hAnsi="Arial" w:cs="Arial"/>
        </w:rPr>
        <w:t xml:space="preserve">Sekretariatet trakk også den konklusjon at det ikke har skjedd noen innstramming i </w:t>
      </w:r>
      <w:proofErr w:type="spellStart"/>
      <w:r w:rsidRPr="00E464CE">
        <w:rPr>
          <w:rFonts w:ascii="Arial" w:hAnsi="Arial" w:cs="Arial"/>
        </w:rPr>
        <w:t>PFUs</w:t>
      </w:r>
      <w:proofErr w:type="spellEnd"/>
      <w:r w:rsidRPr="00E464CE">
        <w:rPr>
          <w:rFonts w:ascii="Arial" w:hAnsi="Arial" w:cs="Arial"/>
        </w:rPr>
        <w:t xml:space="preserve"> praksis med hensyn til VVP 4.14 og kommentarartikler de siste årene. Fellende uttalelser tilbake til 1996 ble gjennomgått.</w:t>
      </w:r>
    </w:p>
    <w:p w:rsidR="00E464CE" w:rsidRPr="00E464CE" w:rsidRDefault="00E464CE" w:rsidP="007C2D75">
      <w:pPr>
        <w:spacing w:after="0" w:line="240" w:lineRule="auto"/>
        <w:rPr>
          <w:rFonts w:ascii="Arial" w:hAnsi="Arial" w:cs="Arial"/>
        </w:rPr>
      </w:pPr>
    </w:p>
    <w:p w:rsidR="00E714C5" w:rsidRPr="00E464CE" w:rsidRDefault="00E714C5" w:rsidP="0064554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E464CE">
        <w:rPr>
          <w:rFonts w:ascii="Arial" w:hAnsi="Arial" w:cs="Arial"/>
          <w:bCs/>
          <w:u w:val="single"/>
        </w:rPr>
        <w:t xml:space="preserve">I tilknytning til den </w:t>
      </w:r>
      <w:proofErr w:type="spellStart"/>
      <w:r w:rsidRPr="00E464CE">
        <w:rPr>
          <w:rFonts w:ascii="Arial" w:hAnsi="Arial" w:cs="Arial"/>
          <w:bCs/>
          <w:u w:val="single"/>
        </w:rPr>
        <w:t>eposten</w:t>
      </w:r>
      <w:proofErr w:type="spellEnd"/>
      <w:r w:rsidRPr="00E464CE">
        <w:rPr>
          <w:rFonts w:ascii="Arial" w:hAnsi="Arial" w:cs="Arial"/>
          <w:bCs/>
          <w:u w:val="single"/>
        </w:rPr>
        <w:t xml:space="preserve"> som denne meldingen er et vedlegg til, finner du også en 4.14-pres</w:t>
      </w:r>
      <w:r w:rsidR="00E464CE" w:rsidRPr="00E464CE">
        <w:rPr>
          <w:rFonts w:ascii="Arial" w:hAnsi="Arial" w:cs="Arial"/>
          <w:bCs/>
          <w:u w:val="single"/>
        </w:rPr>
        <w:t xml:space="preserve">entasjon til bruk i redaksjonen, </w:t>
      </w:r>
      <w:hyperlink r:id="rId7" w:history="1">
        <w:r w:rsidR="00E464CE" w:rsidRPr="00095ADC">
          <w:rPr>
            <w:rStyle w:val="Hyperkobling"/>
            <w:rFonts w:ascii="Arial" w:hAnsi="Arial" w:cs="Arial"/>
            <w:bCs/>
          </w:rPr>
          <w:t>samt styredokumentet om 4.14.-praksis.</w:t>
        </w:r>
      </w:hyperlink>
      <w:r w:rsidRPr="00E464CE">
        <w:rPr>
          <w:rFonts w:ascii="Arial" w:hAnsi="Arial" w:cs="Arial"/>
          <w:bCs/>
          <w:u w:val="single"/>
        </w:rPr>
        <w:t xml:space="preserve"> </w:t>
      </w:r>
    </w:p>
    <w:p w:rsidR="00C605E1" w:rsidRPr="007120AF" w:rsidRDefault="00C605E1" w:rsidP="00645547">
      <w:pPr>
        <w:spacing w:after="0" w:line="240" w:lineRule="auto"/>
        <w:jc w:val="both"/>
        <w:rPr>
          <w:rFonts w:ascii="Arial" w:hAnsi="Arial" w:cs="Arial"/>
          <w:bCs/>
        </w:rPr>
      </w:pPr>
    </w:p>
    <w:p w:rsidR="00645547" w:rsidRPr="00645547" w:rsidRDefault="00645547" w:rsidP="00645547">
      <w:pPr>
        <w:spacing w:after="0" w:line="240" w:lineRule="auto"/>
        <w:jc w:val="both"/>
        <w:rPr>
          <w:rFonts w:ascii="Trebuchet MS" w:hAnsi="Trebuchet MS" w:cs="Times New Roman"/>
          <w:bCs/>
          <w:i/>
          <w:sz w:val="36"/>
          <w:szCs w:val="36"/>
        </w:rPr>
      </w:pPr>
      <w:r w:rsidRPr="00645547">
        <w:rPr>
          <w:rFonts w:ascii="Trebuchet MS" w:hAnsi="Trebuchet MS" w:cs="Times New Roman"/>
          <w:bCs/>
          <w:i/>
          <w:sz w:val="36"/>
          <w:szCs w:val="36"/>
        </w:rPr>
        <w:t>Har du tips, eksempler eller forslag?</w:t>
      </w:r>
    </w:p>
    <w:p w:rsidR="00645547" w:rsidRPr="00645547" w:rsidRDefault="00645547" w:rsidP="00645547">
      <w:pPr>
        <w:spacing w:after="0" w:line="240" w:lineRule="auto"/>
        <w:jc w:val="both"/>
        <w:rPr>
          <w:rFonts w:ascii="Arial" w:hAnsi="Arial" w:cs="Arial"/>
        </w:rPr>
      </w:pPr>
      <w:r w:rsidRPr="00645547">
        <w:rPr>
          <w:rFonts w:ascii="Arial" w:hAnsi="Arial" w:cs="Arial"/>
        </w:rPr>
        <w:t xml:space="preserve">NR-sekretariatet vil gjerne formidle eksempler på hvordan redaksjoner arbeider med å forebygge etiske brudd, og særlig når det gjelder 4.14, men også andre eksempler som tar sikte på å kvalitetssikre kildearbeidet. Brudd på punkt 3.2 om manglende kildebredde eller kildekritikk </w:t>
      </w:r>
      <w:r w:rsidR="00132309">
        <w:rPr>
          <w:rFonts w:ascii="Arial" w:hAnsi="Arial" w:cs="Arial"/>
        </w:rPr>
        <w:t xml:space="preserve">var </w:t>
      </w:r>
      <w:r w:rsidRPr="00645547">
        <w:rPr>
          <w:rFonts w:ascii="Arial" w:hAnsi="Arial" w:cs="Arial"/>
        </w:rPr>
        <w:t xml:space="preserve">det punkt i Vær Varsom-plakaten som </w:t>
      </w:r>
      <w:r w:rsidR="00132309">
        <w:rPr>
          <w:rFonts w:ascii="Arial" w:hAnsi="Arial" w:cs="Arial"/>
        </w:rPr>
        <w:t>i fjor</w:t>
      </w:r>
      <w:r w:rsidRPr="00645547">
        <w:rPr>
          <w:rFonts w:ascii="Arial" w:hAnsi="Arial" w:cs="Arial"/>
        </w:rPr>
        <w:t xml:space="preserve"> </w:t>
      </w:r>
      <w:r w:rsidR="00132309">
        <w:rPr>
          <w:rFonts w:ascii="Arial" w:hAnsi="Arial" w:cs="Arial"/>
        </w:rPr>
        <w:t>var</w:t>
      </w:r>
      <w:r w:rsidRPr="00645547">
        <w:rPr>
          <w:rFonts w:ascii="Arial" w:hAnsi="Arial" w:cs="Arial"/>
        </w:rPr>
        <w:t xml:space="preserve"> grunnlag for flest fellelser etter 4.14. Svært ofte er brudd på det ene av disse, også et brudd på den andre. Send tips, eksempler eller forslag til </w:t>
      </w:r>
      <w:hyperlink r:id="rId8" w:history="1">
        <w:r w:rsidRPr="00645547">
          <w:rPr>
            <w:rFonts w:ascii="Arial" w:hAnsi="Arial" w:cs="Arial"/>
            <w:color w:val="0000FF"/>
            <w:u w:val="single"/>
          </w:rPr>
          <w:t>post@nored.no</w:t>
        </w:r>
      </w:hyperlink>
    </w:p>
    <w:p w:rsidR="00645547" w:rsidRPr="00645547" w:rsidRDefault="00645547" w:rsidP="00645547">
      <w:pPr>
        <w:spacing w:after="0" w:line="240" w:lineRule="auto"/>
        <w:jc w:val="both"/>
        <w:rPr>
          <w:rFonts w:ascii="Arial" w:hAnsi="Arial" w:cs="Arial"/>
        </w:rPr>
      </w:pPr>
    </w:p>
    <w:p w:rsidR="00E043BA" w:rsidRDefault="00E043BA" w:rsidP="00E043BA">
      <w:pPr>
        <w:rPr>
          <w:color w:val="1F497D" w:themeColor="dark2"/>
        </w:rPr>
      </w:pPr>
      <w:r>
        <w:rPr>
          <w:noProof/>
          <w:color w:val="1F497D" w:themeColor="dark2"/>
        </w:rPr>
        <w:drawing>
          <wp:inline distT="0" distB="0" distL="0" distR="0">
            <wp:extent cx="1170000" cy="684000"/>
            <wp:effectExtent l="19050" t="0" r="0" b="0"/>
            <wp:docPr id="3" name="Bilde 2" descr="Logo NY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Logo NY 2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/>
      </w:tblPr>
      <w:tblGrid>
        <w:gridCol w:w="9190"/>
      </w:tblGrid>
      <w:tr w:rsidR="00E043BA" w:rsidTr="00E043BA">
        <w:trPr>
          <w:tblCellSpacing w:w="22" w:type="dxa"/>
        </w:trPr>
        <w:tc>
          <w:tcPr>
            <w:tcW w:w="9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9" w:type="pct"/>
              <w:tblCellSpacing w:w="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79"/>
              <w:gridCol w:w="464"/>
              <w:gridCol w:w="1240"/>
              <w:gridCol w:w="464"/>
              <w:gridCol w:w="2960"/>
            </w:tblGrid>
            <w:tr w:rsidR="00E043BA" w:rsidTr="000B263A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3BA" w:rsidRDefault="000B263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t>G</w:t>
                  </w:r>
                  <w:r w:rsidR="00E043BA">
                    <w:t>eneralsekretær Arne Jensen</w:t>
                  </w:r>
                </w:p>
              </w:tc>
              <w:tc>
                <w:tcPr>
                  <w:tcW w:w="2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t>90 77 87 47</w:t>
                  </w:r>
                </w:p>
              </w:tc>
              <w:tc>
                <w:tcPr>
                  <w:tcW w:w="2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043BA" w:rsidRDefault="000279D5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  <w:hyperlink r:id="rId10" w:history="1">
                    <w:r w:rsidR="00E043BA">
                      <w:rPr>
                        <w:rStyle w:val="Hyperkobling"/>
                      </w:rPr>
                      <w:t>arne.jensen@nored.no</w:t>
                    </w:r>
                  </w:hyperlink>
                </w:p>
              </w:tc>
            </w:tr>
            <w:tr w:rsidR="007C061D" w:rsidTr="000B263A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C061D" w:rsidRDefault="007C061D" w:rsidP="009946E0">
                  <w:pPr>
                    <w:spacing w:after="0" w:line="240" w:lineRule="auto"/>
                  </w:pPr>
                  <w:r>
                    <w:t>Ass. generalsekretær Reidun K. Nybø</w:t>
                  </w:r>
                </w:p>
              </w:tc>
              <w:tc>
                <w:tcPr>
                  <w:tcW w:w="2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061D" w:rsidRDefault="007C061D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C061D" w:rsidRDefault="007C061D" w:rsidP="009946E0">
                  <w:pPr>
                    <w:spacing w:after="0" w:line="240" w:lineRule="auto"/>
                  </w:pPr>
                  <w:r>
                    <w:t>91 10 55 11</w:t>
                  </w:r>
                </w:p>
              </w:tc>
              <w:tc>
                <w:tcPr>
                  <w:tcW w:w="2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061D" w:rsidRDefault="007C061D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C061D" w:rsidRDefault="000279D5" w:rsidP="009946E0">
                  <w:pPr>
                    <w:spacing w:after="0" w:line="240" w:lineRule="auto"/>
                  </w:pPr>
                  <w:hyperlink r:id="rId11" w:history="1">
                    <w:r w:rsidR="007C061D" w:rsidRPr="0065319D">
                      <w:rPr>
                        <w:rStyle w:val="Hyperkobling"/>
                      </w:rPr>
                      <w:t>rkn@nored.no</w:t>
                    </w:r>
                  </w:hyperlink>
                  <w:r w:rsidR="007C061D">
                    <w:t xml:space="preserve"> </w:t>
                  </w:r>
                </w:p>
              </w:tc>
            </w:tr>
            <w:tr w:rsidR="00E043BA" w:rsidTr="000B263A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t>Sekretær Monica Andersen</w:t>
                  </w:r>
                </w:p>
              </w:tc>
              <w:tc>
                <w:tcPr>
                  <w:tcW w:w="2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  <w:r>
                    <w:t>22 40 50 51</w:t>
                  </w:r>
                </w:p>
              </w:tc>
              <w:tc>
                <w:tcPr>
                  <w:tcW w:w="24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043BA" w:rsidRDefault="00E043BA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043BA" w:rsidRDefault="000279D5" w:rsidP="009946E0">
                  <w:pPr>
                    <w:spacing w:after="0" w:line="240" w:lineRule="auto"/>
                    <w:rPr>
                      <w:rFonts w:ascii="Calibri" w:hAnsi="Calibri"/>
                    </w:rPr>
                  </w:pPr>
                  <w:hyperlink r:id="rId12" w:history="1">
                    <w:r w:rsidR="00E043BA">
                      <w:rPr>
                        <w:rStyle w:val="Hyperkobling"/>
                      </w:rPr>
                      <w:t>monica.andersen@nored.no</w:t>
                    </w:r>
                  </w:hyperlink>
                </w:p>
              </w:tc>
            </w:tr>
          </w:tbl>
          <w:p w:rsidR="00E043BA" w:rsidRDefault="00E043BA" w:rsidP="009946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043BA" w:rsidTr="00E043BA">
        <w:trPr>
          <w:tblCellSpacing w:w="22" w:type="dxa"/>
        </w:trPr>
        <w:tc>
          <w:tcPr>
            <w:tcW w:w="91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3BA" w:rsidRDefault="000279D5" w:rsidP="009946E0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0279D5">
              <w:rPr>
                <w:rFonts w:eastAsia="Times New Roman"/>
              </w:rPr>
              <w:pict>
                <v:rect id="_x0000_i1025" style="width:453.6pt;height:1.5pt" o:hralign="center" o:hrstd="t" o:hr="t" fillcolor="#a0a0a0" stroked="f"/>
              </w:pict>
            </w:r>
          </w:p>
          <w:p w:rsidR="00E043BA" w:rsidRPr="00E043BA" w:rsidRDefault="000279D5" w:rsidP="009946E0">
            <w:pPr>
              <w:spacing w:after="0" w:line="240" w:lineRule="auto"/>
              <w:rPr>
                <w:rFonts w:ascii="Calibri" w:hAnsi="Calibri"/>
                <w:sz w:val="18"/>
              </w:rPr>
            </w:pPr>
            <w:hyperlink r:id="rId13" w:history="1">
              <w:r w:rsidR="00E043BA" w:rsidRPr="00E043BA">
                <w:rPr>
                  <w:rStyle w:val="Hyperkobling"/>
                  <w:sz w:val="18"/>
                </w:rPr>
                <w:t>www.nored.no</w:t>
              </w:r>
            </w:hyperlink>
            <w:r w:rsidR="00E043BA" w:rsidRPr="00E043BA">
              <w:rPr>
                <w:sz w:val="18"/>
              </w:rPr>
              <w:t xml:space="preserve"> Tlf 22 40 50 50 - faks 22 40 50 55 - </w:t>
            </w:r>
            <w:hyperlink r:id="rId14" w:history="1">
              <w:r w:rsidR="00E043BA" w:rsidRPr="00E043BA">
                <w:rPr>
                  <w:rStyle w:val="Hyperkobling"/>
                  <w:sz w:val="18"/>
                </w:rPr>
                <w:t>post@nored.no</w:t>
              </w:r>
            </w:hyperlink>
            <w:r w:rsidR="00E043BA" w:rsidRPr="00E043BA">
              <w:rPr>
                <w:sz w:val="18"/>
              </w:rPr>
              <w:t xml:space="preserve"> - Rådhusgaten 17, postboks 624, Sentrum 0106, Oslo </w:t>
            </w:r>
          </w:p>
        </w:tc>
      </w:tr>
    </w:tbl>
    <w:p w:rsidR="00E043BA" w:rsidRPr="00645547" w:rsidRDefault="00E043BA">
      <w:pPr>
        <w:rPr>
          <w:rFonts w:ascii="Arial" w:hAnsi="Arial" w:cs="Arial"/>
        </w:rPr>
      </w:pPr>
    </w:p>
    <w:sectPr w:rsidR="00E043BA" w:rsidRPr="00645547" w:rsidSect="00D9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5547"/>
    <w:rsid w:val="00016CA0"/>
    <w:rsid w:val="000279D5"/>
    <w:rsid w:val="00036828"/>
    <w:rsid w:val="00043CEB"/>
    <w:rsid w:val="00074D34"/>
    <w:rsid w:val="00092A6A"/>
    <w:rsid w:val="00095ADC"/>
    <w:rsid w:val="00095F72"/>
    <w:rsid w:val="000B263A"/>
    <w:rsid w:val="001268F0"/>
    <w:rsid w:val="00132309"/>
    <w:rsid w:val="00157877"/>
    <w:rsid w:val="0019420F"/>
    <w:rsid w:val="001B6AE7"/>
    <w:rsid w:val="00205533"/>
    <w:rsid w:val="0024261B"/>
    <w:rsid w:val="00285106"/>
    <w:rsid w:val="00286748"/>
    <w:rsid w:val="002B3E16"/>
    <w:rsid w:val="00353EDF"/>
    <w:rsid w:val="003712BA"/>
    <w:rsid w:val="00383F5D"/>
    <w:rsid w:val="003C59B4"/>
    <w:rsid w:val="00423E55"/>
    <w:rsid w:val="00430DDF"/>
    <w:rsid w:val="00436934"/>
    <w:rsid w:val="00444814"/>
    <w:rsid w:val="00486EA2"/>
    <w:rsid w:val="004B3919"/>
    <w:rsid w:val="004D0782"/>
    <w:rsid w:val="00550A43"/>
    <w:rsid w:val="00555320"/>
    <w:rsid w:val="005747D2"/>
    <w:rsid w:val="005F39FB"/>
    <w:rsid w:val="005F5876"/>
    <w:rsid w:val="00645547"/>
    <w:rsid w:val="006C6AAD"/>
    <w:rsid w:val="006E2C1E"/>
    <w:rsid w:val="00706EBE"/>
    <w:rsid w:val="007120AF"/>
    <w:rsid w:val="00762BBA"/>
    <w:rsid w:val="007678B5"/>
    <w:rsid w:val="007C061D"/>
    <w:rsid w:val="007C2D75"/>
    <w:rsid w:val="008327C4"/>
    <w:rsid w:val="008425FA"/>
    <w:rsid w:val="0086228B"/>
    <w:rsid w:val="00873761"/>
    <w:rsid w:val="00883876"/>
    <w:rsid w:val="00897CCD"/>
    <w:rsid w:val="008C770A"/>
    <w:rsid w:val="008E2E48"/>
    <w:rsid w:val="008E37DC"/>
    <w:rsid w:val="00904956"/>
    <w:rsid w:val="00971D85"/>
    <w:rsid w:val="00983497"/>
    <w:rsid w:val="009946E0"/>
    <w:rsid w:val="00A44816"/>
    <w:rsid w:val="00A93395"/>
    <w:rsid w:val="00AD75DF"/>
    <w:rsid w:val="00AE20C5"/>
    <w:rsid w:val="00AE28A3"/>
    <w:rsid w:val="00B44ADB"/>
    <w:rsid w:val="00B545FF"/>
    <w:rsid w:val="00BB6B93"/>
    <w:rsid w:val="00BC0EE1"/>
    <w:rsid w:val="00BD3055"/>
    <w:rsid w:val="00C07979"/>
    <w:rsid w:val="00C10156"/>
    <w:rsid w:val="00C605E1"/>
    <w:rsid w:val="00C60C62"/>
    <w:rsid w:val="00C61597"/>
    <w:rsid w:val="00CA04F0"/>
    <w:rsid w:val="00CB7E70"/>
    <w:rsid w:val="00D90D5A"/>
    <w:rsid w:val="00D95263"/>
    <w:rsid w:val="00DB5284"/>
    <w:rsid w:val="00DE6DE6"/>
    <w:rsid w:val="00E00F73"/>
    <w:rsid w:val="00E043BA"/>
    <w:rsid w:val="00E076E1"/>
    <w:rsid w:val="00E07938"/>
    <w:rsid w:val="00E2438F"/>
    <w:rsid w:val="00E3237C"/>
    <w:rsid w:val="00E464CE"/>
    <w:rsid w:val="00E714C5"/>
    <w:rsid w:val="00EA4EFF"/>
    <w:rsid w:val="00EB5082"/>
    <w:rsid w:val="00EB7475"/>
    <w:rsid w:val="00ED6661"/>
    <w:rsid w:val="00F2675A"/>
    <w:rsid w:val="00F36E4F"/>
    <w:rsid w:val="00F81F60"/>
    <w:rsid w:val="00FA4354"/>
    <w:rsid w:val="00FD3B85"/>
    <w:rsid w:val="00FD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D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4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55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455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BC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ntekst">
    <w:name w:val="Plain Text"/>
    <w:basedOn w:val="Normal"/>
    <w:link w:val="RentekstTegn"/>
    <w:uiPriority w:val="99"/>
    <w:semiHidden/>
    <w:unhideWhenUsed/>
    <w:rsid w:val="005747D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747D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8425F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4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55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4554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BC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ntekst">
    <w:name w:val="Plain Text"/>
    <w:basedOn w:val="Normal"/>
    <w:link w:val="RentekstTegn"/>
    <w:uiPriority w:val="99"/>
    <w:semiHidden/>
    <w:unhideWhenUsed/>
    <w:rsid w:val="005747D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747D2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8425F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nored.no" TargetMode="External"/><Relationship Id="rId13" Type="http://schemas.openxmlformats.org/officeDocument/2006/relationships/hyperlink" Target="http://www.nored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ed.no/content/download/9620/82202/version/1/file/Sak%202014-28%20-%20Utvikling%20i%204.14-saker%20og%20kommentar-saker%20i%20PFU.pdf" TargetMode="External"/><Relationship Id="rId12" Type="http://schemas.openxmlformats.org/officeDocument/2006/relationships/hyperlink" Target="mailto:monica.andersen@nored.no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yperlink" Target="mailto:rkn@nored.no" TargetMode="External"/><Relationship Id="rId5" Type="http://schemas.openxmlformats.org/officeDocument/2006/relationships/image" Target="cid:image002.jpg@01CE6D98.FA3A3BA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ne.jensen@nored.no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mailto:post@nored.no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regnear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nb-NO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'Ark1'!$B$1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'Ark1'!$A$2:$A$3</c:f>
              <c:strCache>
                <c:ptCount val="2"/>
                <c:pt idx="0">
                  <c:v>Klager</c:v>
                </c:pt>
                <c:pt idx="1">
                  <c:v>Fellelser</c:v>
                </c:pt>
              </c:strCache>
            </c:strRef>
          </c:cat>
          <c:val>
            <c:numRef>
              <c:f>'Ark1'!$B$2:$B$3</c:f>
              <c:numCache>
                <c:formatCode>General</c:formatCode>
                <c:ptCount val="2"/>
                <c:pt idx="0">
                  <c:v>26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'Ark1'!$C$1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'Ark1'!$A$2:$A$3</c:f>
              <c:strCache>
                <c:ptCount val="2"/>
                <c:pt idx="0">
                  <c:v>Klager</c:v>
                </c:pt>
                <c:pt idx="1">
                  <c:v>Fellelser</c:v>
                </c:pt>
              </c:strCache>
            </c:strRef>
          </c:cat>
          <c:val>
            <c:numRef>
              <c:f>'Ark1'!$C$2:$C$3</c:f>
              <c:numCache>
                <c:formatCode>General</c:formatCode>
                <c:ptCount val="2"/>
                <c:pt idx="0">
                  <c:v>20</c:v>
                </c:pt>
                <c:pt idx="1">
                  <c:v>8</c:v>
                </c:pt>
              </c:numCache>
            </c:numRef>
          </c:val>
        </c:ser>
        <c:dLbls/>
        <c:shape val="box"/>
        <c:axId val="155853952"/>
        <c:axId val="155855872"/>
        <c:axId val="0"/>
      </c:bar3DChart>
      <c:catAx>
        <c:axId val="15585395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nb-NO"/>
          </a:p>
        </c:txPr>
        <c:crossAx val="155855872"/>
        <c:crosses val="autoZero"/>
        <c:auto val="1"/>
        <c:lblAlgn val="ctr"/>
        <c:lblOffset val="100"/>
      </c:catAx>
      <c:valAx>
        <c:axId val="1558558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nb-NO"/>
          </a:p>
        </c:txPr>
        <c:crossAx val="155853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nb-NO"/>
        </a:p>
      </c:txPr>
    </c:legend>
    <c:plotVisOnly val="1"/>
    <c:dispBlanksAs val="gap"/>
  </c:chart>
  <c:txPr>
    <a:bodyPr/>
    <a:lstStyle/>
    <a:p>
      <a:pPr>
        <a:defRPr sz="1800"/>
      </a:pPr>
      <a:endParaRPr lang="nb-NO"/>
    </a:p>
  </c:txPr>
  <c:externalData r:id="rId1"/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614</Words>
  <Characters>3151</Characters>
  <Application>Microsoft Office Word</Application>
  <DocSecurity>0</DocSecurity>
  <Lines>450</Lines>
  <Paragraphs>268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3</cp:revision>
  <cp:lastPrinted>2014-05-28T12:38:00Z</cp:lastPrinted>
  <dcterms:created xsi:type="dcterms:W3CDTF">2014-05-28T12:38:00Z</dcterms:created>
  <dcterms:modified xsi:type="dcterms:W3CDTF">2014-05-28T13:05:00Z</dcterms:modified>
</cp:coreProperties>
</file>