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D0" w:rsidRDefault="002F22D0" w:rsidP="002F22D0">
      <w:pPr>
        <w:autoSpaceDE w:val="0"/>
        <w:autoSpaceDN w:val="0"/>
        <w:adjustRightInd w:val="0"/>
        <w:spacing w:after="0" w:line="240" w:lineRule="auto"/>
      </w:pPr>
      <w:r w:rsidRPr="002F22D0">
        <w:rPr>
          <w:noProof/>
        </w:rPr>
        <w:drawing>
          <wp:inline distT="0" distB="0" distL="0" distR="0">
            <wp:extent cx="859246" cy="812800"/>
            <wp:effectExtent l="19050" t="0" r="0" b="0"/>
            <wp:docPr id="3" name="Bilde 1" descr="NP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 - logo.jpg"/>
                    <pic:cNvPicPr/>
                  </pic:nvPicPr>
                  <pic:blipFill>
                    <a:blip r:embed="rId5" cstate="print"/>
                    <a:stretch>
                      <a:fillRect/>
                    </a:stretch>
                  </pic:blipFill>
                  <pic:spPr>
                    <a:xfrm>
                      <a:off x="0" y="0"/>
                      <a:ext cx="859246" cy="812800"/>
                    </a:xfrm>
                    <a:prstGeom prst="rect">
                      <a:avLst/>
                    </a:prstGeom>
                  </pic:spPr>
                </pic:pic>
              </a:graphicData>
            </a:graphic>
          </wp:inline>
        </w:drawing>
      </w:r>
      <w:r>
        <w:tab/>
      </w:r>
      <w:r>
        <w:tab/>
      </w:r>
      <w:r>
        <w:tab/>
      </w:r>
      <w:r>
        <w:tab/>
      </w:r>
      <w:r>
        <w:tab/>
      </w:r>
      <w:r>
        <w:tab/>
      </w:r>
      <w:r>
        <w:tab/>
      </w:r>
      <w:r w:rsidR="00D36F74">
        <w:t xml:space="preserve"> </w:t>
      </w:r>
      <w:r w:rsidR="00D36F74">
        <w:tab/>
      </w:r>
      <w:r w:rsidR="002F7810">
        <w:rPr>
          <w:noProof/>
        </w:rPr>
        <w:drawing>
          <wp:inline distT="0" distB="0" distL="0" distR="0">
            <wp:extent cx="1276350" cy="724011"/>
            <wp:effectExtent l="19050" t="0" r="0" b="0"/>
            <wp:docPr id="1" name="Bilde 0" descr="N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logo.png"/>
                    <pic:cNvPicPr/>
                  </pic:nvPicPr>
                  <pic:blipFill>
                    <a:blip r:embed="rId6" cstate="print"/>
                    <a:stretch>
                      <a:fillRect/>
                    </a:stretch>
                  </pic:blipFill>
                  <pic:spPr>
                    <a:xfrm>
                      <a:off x="0" y="0"/>
                      <a:ext cx="1276350" cy="724011"/>
                    </a:xfrm>
                    <a:prstGeom prst="rect">
                      <a:avLst/>
                    </a:prstGeom>
                  </pic:spPr>
                </pic:pic>
              </a:graphicData>
            </a:graphic>
          </wp:inline>
        </w:drawing>
      </w:r>
      <w:r w:rsidR="002F7810">
        <w:t xml:space="preserve"> </w:t>
      </w:r>
    </w:p>
    <w:p w:rsidR="002F7810" w:rsidRDefault="002F7810" w:rsidP="002F7810">
      <w:pPr>
        <w:autoSpaceDE w:val="0"/>
        <w:autoSpaceDN w:val="0"/>
        <w:adjustRightInd w:val="0"/>
        <w:spacing w:after="0" w:line="240" w:lineRule="auto"/>
        <w:rPr>
          <w:rFonts w:ascii="Arial Narrow" w:hAnsi="Arial Narrow" w:cs="Arial"/>
          <w:sz w:val="18"/>
          <w:szCs w:val="18"/>
        </w:rPr>
      </w:pPr>
    </w:p>
    <w:p w:rsidR="002F22D0" w:rsidRDefault="002F22D0" w:rsidP="002F7810">
      <w:pPr>
        <w:autoSpaceDE w:val="0"/>
        <w:autoSpaceDN w:val="0"/>
        <w:adjustRightInd w:val="0"/>
        <w:spacing w:after="0" w:line="240" w:lineRule="auto"/>
        <w:rPr>
          <w:rFonts w:ascii="Arial Narrow" w:hAnsi="Arial Narrow" w:cs="Arial"/>
          <w:sz w:val="18"/>
          <w:szCs w:val="18"/>
        </w:rPr>
      </w:pPr>
    </w:p>
    <w:p w:rsidR="002F22D0" w:rsidRDefault="002F22D0" w:rsidP="002F7810">
      <w:pPr>
        <w:autoSpaceDE w:val="0"/>
        <w:autoSpaceDN w:val="0"/>
        <w:adjustRightInd w:val="0"/>
        <w:spacing w:after="0" w:line="240" w:lineRule="auto"/>
        <w:rPr>
          <w:rFonts w:ascii="Arial Narrow" w:hAnsi="Arial Narrow" w:cs="Arial"/>
          <w:sz w:val="18"/>
          <w:szCs w:val="18"/>
        </w:rPr>
      </w:pPr>
    </w:p>
    <w:p w:rsidR="00F01DF6" w:rsidRDefault="00F01DF6" w:rsidP="002F7810">
      <w:pPr>
        <w:autoSpaceDE w:val="0"/>
        <w:autoSpaceDN w:val="0"/>
        <w:adjustRightInd w:val="0"/>
        <w:spacing w:after="0" w:line="240" w:lineRule="auto"/>
        <w:rPr>
          <w:rFonts w:ascii="Arial Narrow" w:hAnsi="Arial Narrow" w:cs="Arial"/>
          <w:sz w:val="18"/>
          <w:szCs w:val="18"/>
        </w:rPr>
      </w:pPr>
    </w:p>
    <w:p w:rsidR="002F22D0" w:rsidRDefault="002F22D0" w:rsidP="002F7810">
      <w:pPr>
        <w:autoSpaceDE w:val="0"/>
        <w:autoSpaceDN w:val="0"/>
        <w:adjustRightInd w:val="0"/>
        <w:spacing w:after="0" w:line="240" w:lineRule="auto"/>
        <w:rPr>
          <w:rFonts w:ascii="Arial Narrow" w:hAnsi="Arial Narrow" w:cs="Arial"/>
          <w:sz w:val="18"/>
          <w:szCs w:val="18"/>
        </w:rPr>
      </w:pPr>
    </w:p>
    <w:p w:rsidR="002F7810" w:rsidRDefault="002F7810" w:rsidP="002F7810">
      <w:pPr>
        <w:autoSpaceDE w:val="0"/>
        <w:autoSpaceDN w:val="0"/>
        <w:adjustRightInd w:val="0"/>
        <w:spacing w:after="0" w:line="240" w:lineRule="auto"/>
        <w:rPr>
          <w:rFonts w:ascii="Arial Narrow" w:hAnsi="Arial Narrow" w:cs="Arial"/>
          <w:sz w:val="18"/>
          <w:szCs w:val="18"/>
        </w:rPr>
      </w:pPr>
    </w:p>
    <w:p w:rsidR="002F7810" w:rsidRDefault="002F7810" w:rsidP="002F7810">
      <w:pPr>
        <w:autoSpaceDE w:val="0"/>
        <w:autoSpaceDN w:val="0"/>
        <w:adjustRightInd w:val="0"/>
        <w:spacing w:after="0" w:line="240" w:lineRule="auto"/>
        <w:rPr>
          <w:rFonts w:ascii="Arial Narrow" w:hAnsi="Arial Narrow" w:cs="Arial"/>
          <w:sz w:val="18"/>
          <w:szCs w:val="18"/>
        </w:rPr>
      </w:pPr>
    </w:p>
    <w:p w:rsidR="002F7810" w:rsidRDefault="002F7810" w:rsidP="002F7810">
      <w:pPr>
        <w:autoSpaceDE w:val="0"/>
        <w:autoSpaceDN w:val="0"/>
        <w:adjustRightInd w:val="0"/>
        <w:spacing w:after="0" w:line="240" w:lineRule="auto"/>
        <w:rPr>
          <w:rFonts w:ascii="Arial Narrow" w:hAnsi="Arial Narrow" w:cs="Arial"/>
          <w:sz w:val="18"/>
          <w:szCs w:val="18"/>
        </w:rPr>
      </w:pPr>
    </w:p>
    <w:p w:rsidR="00F01DF6" w:rsidRDefault="00F01DF6" w:rsidP="002F7810">
      <w:pPr>
        <w:autoSpaceDE w:val="0"/>
        <w:autoSpaceDN w:val="0"/>
        <w:adjustRightInd w:val="0"/>
        <w:spacing w:after="0" w:line="240" w:lineRule="auto"/>
        <w:rPr>
          <w:rFonts w:ascii="Arial Narrow" w:hAnsi="Arial Narrow" w:cs="Arial"/>
          <w:sz w:val="18"/>
          <w:szCs w:val="18"/>
        </w:rPr>
      </w:pPr>
    </w:p>
    <w:p w:rsidR="00F01DF6" w:rsidRDefault="00F01DF6" w:rsidP="002F7810">
      <w:pPr>
        <w:autoSpaceDE w:val="0"/>
        <w:autoSpaceDN w:val="0"/>
        <w:adjustRightInd w:val="0"/>
        <w:spacing w:after="0" w:line="240" w:lineRule="auto"/>
        <w:rPr>
          <w:rFonts w:ascii="Arial Narrow" w:hAnsi="Arial Narrow" w:cs="Arial"/>
          <w:sz w:val="18"/>
          <w:szCs w:val="18"/>
        </w:rPr>
      </w:pPr>
    </w:p>
    <w:p w:rsidR="002F7810" w:rsidRPr="007E4900" w:rsidRDefault="007E4900" w:rsidP="002F7810">
      <w:pPr>
        <w:autoSpaceDE w:val="0"/>
        <w:autoSpaceDN w:val="0"/>
        <w:adjustRightInd w:val="0"/>
        <w:spacing w:after="0" w:line="240" w:lineRule="auto"/>
        <w:rPr>
          <w:rFonts w:ascii="Times New Roman" w:hAnsi="Times New Roman" w:cs="Times New Roman"/>
          <w:sz w:val="24"/>
          <w:szCs w:val="24"/>
        </w:rPr>
      </w:pPr>
      <w:r w:rsidRPr="007E4900">
        <w:rPr>
          <w:rFonts w:ascii="Times New Roman" w:hAnsi="Times New Roman" w:cs="Times New Roman"/>
          <w:sz w:val="24"/>
          <w:szCs w:val="24"/>
        </w:rPr>
        <w:t>Til Oslo tingrett</w:t>
      </w:r>
    </w:p>
    <w:p w:rsidR="007E4900" w:rsidRPr="00E5646B" w:rsidRDefault="00D265D8" w:rsidP="002F7810">
      <w:pPr>
        <w:autoSpaceDE w:val="0"/>
        <w:autoSpaceDN w:val="0"/>
        <w:adjustRightInd w:val="0"/>
        <w:spacing w:after="0" w:line="240" w:lineRule="auto"/>
        <w:rPr>
          <w:rFonts w:ascii="Times New Roman" w:hAnsi="Times New Roman" w:cs="Times New Roman"/>
          <w:sz w:val="24"/>
          <w:szCs w:val="24"/>
        </w:rPr>
      </w:pPr>
      <w:r w:rsidRPr="00D265D8">
        <w:rPr>
          <w:rFonts w:ascii="Times New Roman" w:hAnsi="Times New Roman" w:cs="Times New Roman"/>
          <w:sz w:val="24"/>
          <w:szCs w:val="24"/>
        </w:rPr>
        <w:t>v/ tingrettsdommer Wenche Elizabeth Arntzen</w:t>
      </w:r>
    </w:p>
    <w:p w:rsidR="00FE2CC4" w:rsidRPr="00E5646B" w:rsidRDefault="00FE2CC4" w:rsidP="002F7810">
      <w:pPr>
        <w:autoSpaceDE w:val="0"/>
        <w:autoSpaceDN w:val="0"/>
        <w:adjustRightInd w:val="0"/>
        <w:spacing w:after="0" w:line="240" w:lineRule="auto"/>
        <w:rPr>
          <w:rFonts w:ascii="Times New Roman" w:hAnsi="Times New Roman" w:cs="Times New Roman"/>
          <w:sz w:val="24"/>
          <w:szCs w:val="24"/>
        </w:rPr>
      </w:pPr>
    </w:p>
    <w:p w:rsidR="00F01DF6" w:rsidRPr="00E5646B" w:rsidRDefault="00F01DF6" w:rsidP="002F7810">
      <w:pPr>
        <w:autoSpaceDE w:val="0"/>
        <w:autoSpaceDN w:val="0"/>
        <w:adjustRightInd w:val="0"/>
        <w:spacing w:after="0" w:line="240" w:lineRule="auto"/>
        <w:rPr>
          <w:rFonts w:ascii="Times New Roman" w:hAnsi="Times New Roman" w:cs="Times New Roman"/>
          <w:sz w:val="24"/>
          <w:szCs w:val="24"/>
        </w:rPr>
      </w:pPr>
    </w:p>
    <w:p w:rsidR="00577EB6" w:rsidRDefault="00E57ECD" w:rsidP="002F7810">
      <w:pPr>
        <w:autoSpaceDE w:val="0"/>
        <w:autoSpaceDN w:val="0"/>
        <w:adjustRightInd w:val="0"/>
        <w:spacing w:after="0" w:line="240" w:lineRule="auto"/>
        <w:rPr>
          <w:rFonts w:ascii="Times New Roman" w:hAnsi="Times New Roman" w:cs="Times New Roman"/>
          <w:i/>
          <w:sz w:val="24"/>
          <w:szCs w:val="24"/>
        </w:rPr>
      </w:pPr>
      <w:r w:rsidRPr="00FE2CC4">
        <w:rPr>
          <w:rFonts w:ascii="Times New Roman" w:hAnsi="Times New Roman" w:cs="Times New Roman"/>
          <w:i/>
          <w:sz w:val="24"/>
          <w:szCs w:val="24"/>
        </w:rPr>
        <w:t xml:space="preserve">Kopi til </w:t>
      </w:r>
    </w:p>
    <w:p w:rsidR="007E4900" w:rsidRDefault="00577EB6" w:rsidP="002F7810">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Oslo tingrett v/sorenskriver Geir Engebretsen og Irene Ramm</w:t>
      </w:r>
    </w:p>
    <w:p w:rsidR="00FE2CC4" w:rsidRDefault="00FE2CC4" w:rsidP="002F7810">
      <w:pPr>
        <w:autoSpaceDE w:val="0"/>
        <w:autoSpaceDN w:val="0"/>
        <w:adjustRightInd w:val="0"/>
        <w:spacing w:after="0" w:line="240" w:lineRule="auto"/>
        <w:rPr>
          <w:rFonts w:ascii="Times New Roman" w:hAnsi="Times New Roman" w:cs="Times New Roman"/>
          <w:i/>
          <w:sz w:val="24"/>
          <w:szCs w:val="24"/>
        </w:rPr>
      </w:pPr>
    </w:p>
    <w:p w:rsidR="00FE2CC4" w:rsidRDefault="00FE2CC4" w:rsidP="002F7810">
      <w:pPr>
        <w:autoSpaceDE w:val="0"/>
        <w:autoSpaceDN w:val="0"/>
        <w:adjustRightInd w:val="0"/>
        <w:spacing w:after="0" w:line="240" w:lineRule="auto"/>
        <w:rPr>
          <w:rFonts w:ascii="Times New Roman" w:hAnsi="Times New Roman" w:cs="Times New Roman"/>
          <w:i/>
          <w:sz w:val="24"/>
          <w:szCs w:val="24"/>
        </w:rPr>
      </w:pPr>
    </w:p>
    <w:p w:rsidR="00F01DF6" w:rsidRDefault="00F01DF6" w:rsidP="002F7810">
      <w:pPr>
        <w:autoSpaceDE w:val="0"/>
        <w:autoSpaceDN w:val="0"/>
        <w:adjustRightInd w:val="0"/>
        <w:spacing w:after="0" w:line="240" w:lineRule="auto"/>
        <w:rPr>
          <w:rFonts w:ascii="Times New Roman" w:hAnsi="Times New Roman" w:cs="Times New Roman"/>
          <w:i/>
          <w:sz w:val="24"/>
          <w:szCs w:val="24"/>
        </w:rPr>
      </w:pPr>
    </w:p>
    <w:p w:rsidR="00F01DF6" w:rsidRPr="00FE2CC4" w:rsidRDefault="00F01DF6" w:rsidP="002F7810">
      <w:pPr>
        <w:autoSpaceDE w:val="0"/>
        <w:autoSpaceDN w:val="0"/>
        <w:adjustRightInd w:val="0"/>
        <w:spacing w:after="0" w:line="240" w:lineRule="auto"/>
        <w:rPr>
          <w:rFonts w:ascii="Times New Roman" w:hAnsi="Times New Roman" w:cs="Times New Roman"/>
          <w:i/>
          <w:sz w:val="24"/>
          <w:szCs w:val="24"/>
        </w:rPr>
      </w:pPr>
    </w:p>
    <w:p w:rsidR="007E4900" w:rsidRDefault="007E4900" w:rsidP="002F78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7E4900" w:rsidRDefault="007E4900" w:rsidP="002F78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Oslo 2012-0</w:t>
      </w:r>
      <w:r w:rsidR="00577EB6">
        <w:rPr>
          <w:rFonts w:ascii="Times New Roman" w:hAnsi="Times New Roman" w:cs="Times New Roman"/>
          <w:sz w:val="24"/>
          <w:szCs w:val="24"/>
        </w:rPr>
        <w:t>4</w:t>
      </w:r>
      <w:r>
        <w:rPr>
          <w:rFonts w:ascii="Times New Roman" w:hAnsi="Times New Roman" w:cs="Times New Roman"/>
          <w:sz w:val="24"/>
          <w:szCs w:val="24"/>
        </w:rPr>
        <w:t>-</w:t>
      </w:r>
      <w:r w:rsidR="00A6332B">
        <w:rPr>
          <w:rFonts w:ascii="Times New Roman" w:hAnsi="Times New Roman" w:cs="Times New Roman"/>
          <w:sz w:val="24"/>
          <w:szCs w:val="24"/>
        </w:rPr>
        <w:t>10</w:t>
      </w:r>
    </w:p>
    <w:p w:rsidR="007E4900" w:rsidRDefault="007E4900" w:rsidP="002F7810">
      <w:pPr>
        <w:autoSpaceDE w:val="0"/>
        <w:autoSpaceDN w:val="0"/>
        <w:adjustRightInd w:val="0"/>
        <w:spacing w:after="0" w:line="240" w:lineRule="auto"/>
        <w:rPr>
          <w:rFonts w:ascii="Times New Roman" w:hAnsi="Times New Roman" w:cs="Times New Roman"/>
          <w:sz w:val="24"/>
          <w:szCs w:val="24"/>
        </w:rPr>
      </w:pPr>
    </w:p>
    <w:p w:rsidR="00F01DF6" w:rsidRDefault="00F01DF6" w:rsidP="002F7810">
      <w:pPr>
        <w:autoSpaceDE w:val="0"/>
        <w:autoSpaceDN w:val="0"/>
        <w:adjustRightInd w:val="0"/>
        <w:spacing w:after="0" w:line="240" w:lineRule="auto"/>
        <w:rPr>
          <w:rFonts w:ascii="Times New Roman" w:hAnsi="Times New Roman" w:cs="Times New Roman"/>
          <w:sz w:val="24"/>
          <w:szCs w:val="24"/>
        </w:rPr>
      </w:pPr>
    </w:p>
    <w:p w:rsidR="00F01DF6" w:rsidRDefault="00F01DF6" w:rsidP="002F7810">
      <w:pPr>
        <w:autoSpaceDE w:val="0"/>
        <w:autoSpaceDN w:val="0"/>
        <w:adjustRightInd w:val="0"/>
        <w:spacing w:after="0" w:line="240" w:lineRule="auto"/>
        <w:rPr>
          <w:rFonts w:ascii="Times New Roman" w:hAnsi="Times New Roman" w:cs="Times New Roman"/>
          <w:sz w:val="24"/>
          <w:szCs w:val="24"/>
        </w:rPr>
      </w:pPr>
    </w:p>
    <w:p w:rsidR="00F01DF6" w:rsidRDefault="00F01DF6" w:rsidP="002F7810">
      <w:pPr>
        <w:autoSpaceDE w:val="0"/>
        <w:autoSpaceDN w:val="0"/>
        <w:adjustRightInd w:val="0"/>
        <w:spacing w:after="0" w:line="240" w:lineRule="auto"/>
        <w:rPr>
          <w:rFonts w:ascii="Times New Roman" w:hAnsi="Times New Roman" w:cs="Times New Roman"/>
          <w:sz w:val="24"/>
          <w:szCs w:val="24"/>
        </w:rPr>
      </w:pPr>
    </w:p>
    <w:p w:rsidR="007E4900" w:rsidRDefault="007E4900" w:rsidP="002F7810">
      <w:pPr>
        <w:autoSpaceDE w:val="0"/>
        <w:autoSpaceDN w:val="0"/>
        <w:adjustRightInd w:val="0"/>
        <w:spacing w:after="0" w:line="240" w:lineRule="auto"/>
        <w:rPr>
          <w:rFonts w:ascii="Times New Roman" w:hAnsi="Times New Roman" w:cs="Times New Roman"/>
          <w:sz w:val="24"/>
          <w:szCs w:val="24"/>
        </w:rPr>
      </w:pPr>
    </w:p>
    <w:p w:rsidR="00F01DF6" w:rsidRDefault="00F01DF6" w:rsidP="002F7810">
      <w:pPr>
        <w:autoSpaceDE w:val="0"/>
        <w:autoSpaceDN w:val="0"/>
        <w:adjustRightInd w:val="0"/>
        <w:spacing w:after="0" w:line="240" w:lineRule="auto"/>
        <w:rPr>
          <w:rFonts w:ascii="Arial" w:hAnsi="Arial" w:cs="Arial"/>
          <w:sz w:val="18"/>
          <w:szCs w:val="18"/>
        </w:rPr>
      </w:pPr>
    </w:p>
    <w:p w:rsidR="007E4900" w:rsidRPr="00577EB6" w:rsidRDefault="00577EB6" w:rsidP="002F7810">
      <w:pPr>
        <w:autoSpaceDE w:val="0"/>
        <w:autoSpaceDN w:val="0"/>
        <w:adjustRightInd w:val="0"/>
        <w:spacing w:after="0" w:line="240" w:lineRule="auto"/>
        <w:rPr>
          <w:rFonts w:ascii="Arial" w:hAnsi="Arial" w:cs="Arial"/>
          <w:sz w:val="18"/>
          <w:szCs w:val="18"/>
        </w:rPr>
      </w:pPr>
      <w:r w:rsidRPr="00577EB6">
        <w:rPr>
          <w:rFonts w:ascii="Arial" w:hAnsi="Arial" w:cs="Arial"/>
          <w:sz w:val="18"/>
          <w:szCs w:val="18"/>
        </w:rPr>
        <w:t xml:space="preserve">Deres ref.: 11-188617MED-OTIR/05 </w:t>
      </w:r>
    </w:p>
    <w:p w:rsidR="00FE2CC4" w:rsidRDefault="00FE2CC4" w:rsidP="002F7810">
      <w:pPr>
        <w:autoSpaceDE w:val="0"/>
        <w:autoSpaceDN w:val="0"/>
        <w:adjustRightInd w:val="0"/>
        <w:spacing w:after="0" w:line="240" w:lineRule="auto"/>
        <w:rPr>
          <w:rFonts w:ascii="Times New Roman" w:hAnsi="Times New Roman" w:cs="Times New Roman"/>
          <w:sz w:val="24"/>
          <w:szCs w:val="24"/>
        </w:rPr>
      </w:pPr>
    </w:p>
    <w:p w:rsidR="00FE2CC4" w:rsidRDefault="00FE2CC4" w:rsidP="002F7810">
      <w:pPr>
        <w:autoSpaceDE w:val="0"/>
        <w:autoSpaceDN w:val="0"/>
        <w:adjustRightInd w:val="0"/>
        <w:spacing w:after="0" w:line="240" w:lineRule="auto"/>
        <w:rPr>
          <w:rFonts w:ascii="Times New Roman" w:hAnsi="Times New Roman" w:cs="Times New Roman"/>
          <w:sz w:val="24"/>
          <w:szCs w:val="24"/>
        </w:rPr>
      </w:pPr>
    </w:p>
    <w:p w:rsidR="007E4900" w:rsidRDefault="007E4900" w:rsidP="002F7810">
      <w:pPr>
        <w:autoSpaceDE w:val="0"/>
        <w:autoSpaceDN w:val="0"/>
        <w:adjustRightInd w:val="0"/>
        <w:spacing w:after="0" w:line="240" w:lineRule="auto"/>
        <w:rPr>
          <w:rFonts w:ascii="Times New Roman" w:hAnsi="Times New Roman" w:cs="Times New Roman"/>
          <w:sz w:val="24"/>
          <w:szCs w:val="24"/>
        </w:rPr>
      </w:pPr>
    </w:p>
    <w:p w:rsidR="00F01DF6" w:rsidRDefault="00F01DF6" w:rsidP="002F7810">
      <w:pPr>
        <w:autoSpaceDE w:val="0"/>
        <w:autoSpaceDN w:val="0"/>
        <w:adjustRightInd w:val="0"/>
        <w:spacing w:after="0" w:line="240" w:lineRule="auto"/>
        <w:rPr>
          <w:rFonts w:ascii="Times New Roman" w:hAnsi="Times New Roman" w:cs="Times New Roman"/>
          <w:sz w:val="24"/>
          <w:szCs w:val="24"/>
        </w:rPr>
      </w:pPr>
    </w:p>
    <w:p w:rsidR="007E4900" w:rsidRDefault="00577EB6" w:rsidP="002F7810">
      <w:pPr>
        <w:autoSpaceDE w:val="0"/>
        <w:autoSpaceDN w:val="0"/>
        <w:adjustRightInd w:val="0"/>
        <w:spacing w:after="0" w:line="240" w:lineRule="auto"/>
        <w:rPr>
          <w:rFonts w:ascii="Arial Narrow" w:hAnsi="Arial Narrow" w:cs="Arial"/>
          <w:b/>
          <w:sz w:val="24"/>
          <w:szCs w:val="24"/>
        </w:rPr>
      </w:pPr>
      <w:r>
        <w:rPr>
          <w:rFonts w:ascii="Arial Narrow" w:hAnsi="Arial Narrow" w:cs="Arial"/>
          <w:b/>
          <w:sz w:val="24"/>
          <w:szCs w:val="24"/>
        </w:rPr>
        <w:t>Oslo statsadvokater – Anders Behring Breivik – kringkasting av og fotografering under hovedforhandlingen</w:t>
      </w:r>
    </w:p>
    <w:p w:rsidR="00577EB6" w:rsidRDefault="00577EB6" w:rsidP="002F7810">
      <w:pPr>
        <w:autoSpaceDE w:val="0"/>
        <w:autoSpaceDN w:val="0"/>
        <w:adjustRightInd w:val="0"/>
        <w:spacing w:after="0" w:line="240" w:lineRule="auto"/>
        <w:rPr>
          <w:rFonts w:ascii="Arial Narrow" w:hAnsi="Arial Narrow" w:cs="Arial"/>
          <w:b/>
          <w:sz w:val="24"/>
          <w:szCs w:val="24"/>
        </w:rPr>
      </w:pPr>
    </w:p>
    <w:p w:rsidR="00FE2CC4" w:rsidRDefault="00FE2CC4" w:rsidP="002F7810">
      <w:pPr>
        <w:autoSpaceDE w:val="0"/>
        <w:autoSpaceDN w:val="0"/>
        <w:adjustRightInd w:val="0"/>
        <w:spacing w:after="0" w:line="240" w:lineRule="auto"/>
        <w:rPr>
          <w:rFonts w:ascii="Times New Roman" w:hAnsi="Times New Roman" w:cs="Times New Roman"/>
          <w:sz w:val="24"/>
          <w:szCs w:val="24"/>
        </w:rPr>
      </w:pPr>
    </w:p>
    <w:p w:rsidR="00147FFB" w:rsidRDefault="00147FFB" w:rsidP="002F7810">
      <w:pPr>
        <w:autoSpaceDE w:val="0"/>
        <w:autoSpaceDN w:val="0"/>
        <w:adjustRightInd w:val="0"/>
        <w:spacing w:after="0" w:line="240" w:lineRule="auto"/>
        <w:rPr>
          <w:rFonts w:ascii="Times New Roman" w:hAnsi="Times New Roman" w:cs="Times New Roman"/>
          <w:sz w:val="24"/>
          <w:szCs w:val="24"/>
        </w:rPr>
      </w:pPr>
    </w:p>
    <w:p w:rsidR="00147FFB" w:rsidRDefault="00147FFB" w:rsidP="002F78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tillatelsen fra retten til delvis fotografering og opptak av 22. juli-saken, datert 9. mars 2012, ble det bebudet at man på et senere tidspunkt kunne komme nærmere tilbake til spørsmålet om en del av vilkårene for tillatelsen. Vi tillater oss derfor å be om at retten snarest tar standpunkt til følgende:</w:t>
      </w:r>
    </w:p>
    <w:p w:rsidR="00F161A6" w:rsidRDefault="00F161A6" w:rsidP="002F7810">
      <w:pPr>
        <w:autoSpaceDE w:val="0"/>
        <w:autoSpaceDN w:val="0"/>
        <w:adjustRightInd w:val="0"/>
        <w:spacing w:after="0" w:line="240" w:lineRule="auto"/>
        <w:rPr>
          <w:rFonts w:ascii="Times New Roman" w:hAnsi="Times New Roman" w:cs="Times New Roman"/>
          <w:sz w:val="24"/>
          <w:szCs w:val="24"/>
        </w:rPr>
      </w:pPr>
    </w:p>
    <w:p w:rsidR="00147FFB" w:rsidRDefault="00147FFB" w:rsidP="002F7810">
      <w:pPr>
        <w:autoSpaceDE w:val="0"/>
        <w:autoSpaceDN w:val="0"/>
        <w:adjustRightInd w:val="0"/>
        <w:spacing w:after="0" w:line="240" w:lineRule="auto"/>
        <w:rPr>
          <w:rFonts w:ascii="Times New Roman" w:hAnsi="Times New Roman" w:cs="Times New Roman"/>
          <w:sz w:val="24"/>
          <w:szCs w:val="24"/>
        </w:rPr>
      </w:pPr>
    </w:p>
    <w:p w:rsidR="00147FFB" w:rsidRDefault="00A307BB" w:rsidP="00147FFB">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rettens beslutning pkt (2) uttales</w:t>
      </w:r>
      <w:r w:rsidR="00147FFB">
        <w:rPr>
          <w:rFonts w:ascii="Times New Roman" w:hAnsi="Times New Roman" w:cs="Times New Roman"/>
          <w:sz w:val="24"/>
          <w:szCs w:val="24"/>
        </w:rPr>
        <w:t xml:space="preserve"> at </w:t>
      </w:r>
      <w:r w:rsidR="00752E36">
        <w:rPr>
          <w:rFonts w:ascii="Times New Roman" w:hAnsi="Times New Roman" w:cs="Times New Roman"/>
          <w:sz w:val="24"/>
          <w:szCs w:val="24"/>
        </w:rPr>
        <w:t>”</w:t>
      </w:r>
      <w:r w:rsidR="00147FFB">
        <w:rPr>
          <w:rFonts w:ascii="Times New Roman" w:hAnsi="Times New Roman" w:cs="Times New Roman"/>
          <w:sz w:val="24"/>
          <w:szCs w:val="24"/>
        </w:rPr>
        <w:t>i den grad det også vil bli ført bevis under aktors innledningsforedrag, f eks fremvisning av videoopptak eller avspilling av lydlogger, omfatter rettens till</w:t>
      </w:r>
      <w:r w:rsidR="00752E36">
        <w:rPr>
          <w:rFonts w:ascii="Times New Roman" w:hAnsi="Times New Roman" w:cs="Times New Roman"/>
          <w:sz w:val="24"/>
          <w:szCs w:val="24"/>
        </w:rPr>
        <w:t>atelse ikke denne bevisførselen med mindre noe annet blir bestemt. Det vil for eksempel kunne være aktuelt å tillate deler av videoopptak vist med lyd og bilde, mens deler av det vil måtte begrenses til lyd. Retten vil komme tilbake til dette etter at bevisoppgaven foreligger.”</w:t>
      </w:r>
    </w:p>
    <w:p w:rsidR="00752E36" w:rsidRDefault="00752E36" w:rsidP="00752E36">
      <w:pPr>
        <w:pStyle w:val="Listeavsnitt"/>
        <w:autoSpaceDE w:val="0"/>
        <w:autoSpaceDN w:val="0"/>
        <w:adjustRightInd w:val="0"/>
        <w:spacing w:after="0" w:line="240" w:lineRule="auto"/>
        <w:rPr>
          <w:rFonts w:ascii="Times New Roman" w:hAnsi="Times New Roman" w:cs="Times New Roman"/>
          <w:sz w:val="24"/>
          <w:szCs w:val="24"/>
        </w:rPr>
      </w:pPr>
    </w:p>
    <w:p w:rsidR="00752E36" w:rsidRDefault="00752E36" w:rsidP="00752E36">
      <w:pPr>
        <w:pStyle w:val="Listeavsnitt"/>
        <w:autoSpaceDE w:val="0"/>
        <w:autoSpaceDN w:val="0"/>
        <w:adjustRightInd w:val="0"/>
        <w:spacing w:after="0" w:line="240" w:lineRule="auto"/>
        <w:rPr>
          <w:rFonts w:ascii="Times New Roman" w:hAnsi="Times New Roman" w:cs="Times New Roman"/>
          <w:i/>
          <w:sz w:val="24"/>
          <w:szCs w:val="24"/>
        </w:rPr>
      </w:pPr>
      <w:r w:rsidRPr="00752E36">
        <w:rPr>
          <w:rFonts w:ascii="Times New Roman" w:hAnsi="Times New Roman" w:cs="Times New Roman"/>
          <w:i/>
          <w:sz w:val="24"/>
          <w:szCs w:val="24"/>
        </w:rPr>
        <w:lastRenderedPageBreak/>
        <w:t>Me</w:t>
      </w:r>
      <w:r>
        <w:rPr>
          <w:rFonts w:ascii="Times New Roman" w:hAnsi="Times New Roman" w:cs="Times New Roman"/>
          <w:i/>
          <w:sz w:val="24"/>
          <w:szCs w:val="24"/>
        </w:rPr>
        <w:t>d</w:t>
      </w:r>
      <w:r w:rsidRPr="00752E36">
        <w:rPr>
          <w:rFonts w:ascii="Times New Roman" w:hAnsi="Times New Roman" w:cs="Times New Roman"/>
          <w:i/>
          <w:sz w:val="24"/>
          <w:szCs w:val="24"/>
        </w:rPr>
        <w:t xml:space="preserve"> henvisning til at bevisoppgaven nå foreligger, og til at aktorene har uttalt at det ikke vil være noe i veien for å se den animasjonsfilmen som skal vise tiltaltes bevegelser på Utøya, ber vi om at tillatelsen justeres i samsvar med dette.</w:t>
      </w:r>
    </w:p>
    <w:p w:rsidR="00752E36" w:rsidRDefault="00752E36" w:rsidP="00752E36">
      <w:pPr>
        <w:pStyle w:val="Listeavsnitt"/>
        <w:autoSpaceDE w:val="0"/>
        <w:autoSpaceDN w:val="0"/>
        <w:adjustRightInd w:val="0"/>
        <w:spacing w:after="0" w:line="240" w:lineRule="auto"/>
        <w:rPr>
          <w:rFonts w:ascii="Times New Roman" w:hAnsi="Times New Roman" w:cs="Times New Roman"/>
          <w:i/>
          <w:sz w:val="24"/>
          <w:szCs w:val="24"/>
        </w:rPr>
      </w:pPr>
    </w:p>
    <w:p w:rsidR="00F161A6" w:rsidRPr="00752E36" w:rsidRDefault="00F161A6" w:rsidP="00752E36">
      <w:pPr>
        <w:pStyle w:val="Listeavsnitt"/>
        <w:autoSpaceDE w:val="0"/>
        <w:autoSpaceDN w:val="0"/>
        <w:adjustRightInd w:val="0"/>
        <w:spacing w:after="0" w:line="240" w:lineRule="auto"/>
        <w:rPr>
          <w:rFonts w:ascii="Times New Roman" w:hAnsi="Times New Roman" w:cs="Times New Roman"/>
          <w:i/>
          <w:sz w:val="24"/>
          <w:szCs w:val="24"/>
        </w:rPr>
      </w:pPr>
    </w:p>
    <w:p w:rsidR="00A307BB" w:rsidRDefault="00A307BB" w:rsidP="00A307BB">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rettens beslutning pkt (5) uttales det at i forhold til ”andre vitneforklaringer” (enn fornærmede), profesjonelle vitner og øvrig bevisførsel ”har retten ikke detaljert kunnskap til hvilke øvrige vitner som skal forklare seg, eller hva de skal forklare seg om. Det samme gjelder den øvrige bevisførsel. I forhold til disse delene av hovedforhandlingene må retten derfor avvente bevisoppgaven før den kan ta stilling til hvilke deler det eventuelt kan gis tillatelse til å kringkaste, for eksempel politivitners forklaringer.”</w:t>
      </w:r>
    </w:p>
    <w:p w:rsidR="00A307BB" w:rsidRDefault="00A307BB" w:rsidP="00A307BB">
      <w:pPr>
        <w:autoSpaceDE w:val="0"/>
        <w:autoSpaceDN w:val="0"/>
        <w:adjustRightInd w:val="0"/>
        <w:spacing w:after="0" w:line="240" w:lineRule="auto"/>
        <w:ind w:left="360"/>
        <w:rPr>
          <w:rFonts w:ascii="Times New Roman" w:hAnsi="Times New Roman" w:cs="Times New Roman"/>
          <w:sz w:val="24"/>
          <w:szCs w:val="24"/>
        </w:rPr>
      </w:pPr>
    </w:p>
    <w:p w:rsidR="00CB6204" w:rsidRDefault="00A307BB" w:rsidP="009977DA">
      <w:pPr>
        <w:autoSpaceDE w:val="0"/>
        <w:autoSpaceDN w:val="0"/>
        <w:adjustRightInd w:val="0"/>
        <w:spacing w:after="120" w:line="240" w:lineRule="auto"/>
        <w:ind w:left="709"/>
        <w:rPr>
          <w:rFonts w:ascii="Times New Roman" w:hAnsi="Times New Roman" w:cs="Times New Roman"/>
          <w:i/>
          <w:sz w:val="24"/>
          <w:szCs w:val="24"/>
        </w:rPr>
      </w:pPr>
      <w:r w:rsidRPr="00A307BB">
        <w:rPr>
          <w:rFonts w:ascii="Times New Roman" w:hAnsi="Times New Roman" w:cs="Times New Roman"/>
          <w:i/>
          <w:sz w:val="24"/>
          <w:szCs w:val="24"/>
        </w:rPr>
        <w:t xml:space="preserve">Med henvisning til at bevisoppgaver og vitnelister nå foreligger </w:t>
      </w:r>
      <w:r>
        <w:rPr>
          <w:rFonts w:ascii="Times New Roman" w:hAnsi="Times New Roman" w:cs="Times New Roman"/>
          <w:i/>
          <w:sz w:val="24"/>
          <w:szCs w:val="24"/>
        </w:rPr>
        <w:t>ber vi om at det åpnes for opptak som i bevisoppgaven er kalt ”Bevistema 2: om bombe og åsted i Oslo”, med unntak for bil</w:t>
      </w:r>
      <w:r w:rsidR="00CB6204">
        <w:rPr>
          <w:rFonts w:ascii="Times New Roman" w:hAnsi="Times New Roman" w:cs="Times New Roman"/>
          <w:i/>
          <w:sz w:val="24"/>
          <w:szCs w:val="24"/>
        </w:rPr>
        <w:t xml:space="preserve">der/videoopptak av skadde eller drepte personer. </w:t>
      </w:r>
    </w:p>
    <w:p w:rsidR="00CB6204" w:rsidRDefault="00CB6204" w:rsidP="009977DA">
      <w:pPr>
        <w:autoSpaceDE w:val="0"/>
        <w:autoSpaceDN w:val="0"/>
        <w:adjustRightInd w:val="0"/>
        <w:spacing w:after="120" w:line="240" w:lineRule="auto"/>
        <w:ind w:left="709"/>
        <w:rPr>
          <w:rFonts w:ascii="Times New Roman" w:hAnsi="Times New Roman" w:cs="Times New Roman"/>
          <w:i/>
          <w:sz w:val="24"/>
          <w:szCs w:val="24"/>
        </w:rPr>
      </w:pPr>
      <w:r>
        <w:rPr>
          <w:rFonts w:ascii="Times New Roman" w:hAnsi="Times New Roman" w:cs="Times New Roman"/>
          <w:i/>
          <w:sz w:val="24"/>
          <w:szCs w:val="24"/>
        </w:rPr>
        <w:t xml:space="preserve">Vi ber også om at det kan gjøres opptak av forklaringen til Ingelin Killengren fra Fornyings-, administrasjons- og kirkedepartementet under ”Bevistema 5: konsekvensen for berørte departementer”. </w:t>
      </w:r>
    </w:p>
    <w:p w:rsidR="009977DA" w:rsidRDefault="00CB6204" w:rsidP="009977DA">
      <w:pPr>
        <w:autoSpaceDE w:val="0"/>
        <w:autoSpaceDN w:val="0"/>
        <w:adjustRightInd w:val="0"/>
        <w:spacing w:after="120" w:line="240" w:lineRule="auto"/>
        <w:ind w:left="709"/>
        <w:rPr>
          <w:rFonts w:ascii="Times New Roman" w:hAnsi="Times New Roman" w:cs="Times New Roman"/>
          <w:i/>
          <w:sz w:val="24"/>
          <w:szCs w:val="24"/>
        </w:rPr>
      </w:pPr>
      <w:r>
        <w:rPr>
          <w:rFonts w:ascii="Times New Roman" w:hAnsi="Times New Roman" w:cs="Times New Roman"/>
          <w:i/>
          <w:sz w:val="24"/>
          <w:szCs w:val="24"/>
        </w:rPr>
        <w:t>Vi ber også om at vurderes tillatelse til opptak under ”Bevistema 7: om våpen og åsted”, med unntak for bilder/videoopptak av skadde eller drepte personer” og under ”Bevistema 10: pågripelsen”</w:t>
      </w:r>
      <w:r w:rsidR="009977DA">
        <w:rPr>
          <w:rFonts w:ascii="Times New Roman" w:hAnsi="Times New Roman" w:cs="Times New Roman"/>
          <w:i/>
          <w:sz w:val="24"/>
          <w:szCs w:val="24"/>
        </w:rPr>
        <w:t xml:space="preserve"> og ”Bevistema 12: fra etterforskningen”.</w:t>
      </w:r>
    </w:p>
    <w:p w:rsidR="00A307BB" w:rsidRDefault="00A307BB" w:rsidP="00A307BB">
      <w:pPr>
        <w:autoSpaceDE w:val="0"/>
        <w:autoSpaceDN w:val="0"/>
        <w:adjustRightInd w:val="0"/>
        <w:spacing w:after="0" w:line="240" w:lineRule="auto"/>
        <w:ind w:left="708"/>
        <w:rPr>
          <w:rFonts w:ascii="Times New Roman" w:hAnsi="Times New Roman" w:cs="Times New Roman"/>
          <w:i/>
          <w:sz w:val="24"/>
          <w:szCs w:val="24"/>
        </w:rPr>
      </w:pPr>
    </w:p>
    <w:p w:rsidR="00F161A6" w:rsidRPr="00A307BB" w:rsidRDefault="00F161A6" w:rsidP="00A307BB">
      <w:pPr>
        <w:autoSpaceDE w:val="0"/>
        <w:autoSpaceDN w:val="0"/>
        <w:adjustRightInd w:val="0"/>
        <w:spacing w:after="0" w:line="240" w:lineRule="auto"/>
        <w:ind w:left="708"/>
        <w:rPr>
          <w:rFonts w:ascii="Times New Roman" w:hAnsi="Times New Roman" w:cs="Times New Roman"/>
          <w:i/>
          <w:sz w:val="24"/>
          <w:szCs w:val="24"/>
        </w:rPr>
      </w:pPr>
    </w:p>
    <w:p w:rsidR="00A307BB" w:rsidRDefault="009977DA" w:rsidP="00A307BB">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rettens beslutning pkt (6) er</w:t>
      </w:r>
      <w:r w:rsidR="00C65A10">
        <w:rPr>
          <w:rFonts w:ascii="Times New Roman" w:hAnsi="Times New Roman" w:cs="Times New Roman"/>
          <w:sz w:val="24"/>
          <w:szCs w:val="24"/>
        </w:rPr>
        <w:t xml:space="preserve"> drøftet forklaringene til de rettsoppnevnte sakkyndige, blant annet med henvisning til at de sakkyndige selv ikke har motforestillinger til opptak, men at det kan være aktuelt med referatforbud eller lukkede dører for deler av forklaringene.  </w:t>
      </w:r>
    </w:p>
    <w:p w:rsidR="00C65A10" w:rsidRDefault="00C65A10" w:rsidP="00C65A10">
      <w:pPr>
        <w:pStyle w:val="Listeavsnitt"/>
        <w:autoSpaceDE w:val="0"/>
        <w:autoSpaceDN w:val="0"/>
        <w:adjustRightInd w:val="0"/>
        <w:spacing w:after="0" w:line="240" w:lineRule="auto"/>
        <w:rPr>
          <w:rFonts w:ascii="Times New Roman" w:hAnsi="Times New Roman" w:cs="Times New Roman"/>
          <w:sz w:val="24"/>
          <w:szCs w:val="24"/>
        </w:rPr>
      </w:pPr>
    </w:p>
    <w:p w:rsidR="00C65A10" w:rsidRPr="00C65A10" w:rsidRDefault="00C65A10" w:rsidP="00C65A10">
      <w:pPr>
        <w:pStyle w:val="Listeavsnitt"/>
        <w:autoSpaceDE w:val="0"/>
        <w:autoSpaceDN w:val="0"/>
        <w:adjustRightInd w:val="0"/>
        <w:spacing w:after="0" w:line="240" w:lineRule="auto"/>
        <w:rPr>
          <w:rFonts w:ascii="Times New Roman" w:hAnsi="Times New Roman" w:cs="Times New Roman"/>
          <w:i/>
          <w:sz w:val="24"/>
          <w:szCs w:val="24"/>
        </w:rPr>
      </w:pPr>
      <w:r w:rsidRPr="00C65A10">
        <w:rPr>
          <w:rFonts w:ascii="Times New Roman" w:hAnsi="Times New Roman" w:cs="Times New Roman"/>
          <w:i/>
          <w:sz w:val="24"/>
          <w:szCs w:val="24"/>
        </w:rPr>
        <w:t>Med henvisning til at konklusjonen i den seneste rapporten fra sakkyndige er motsatt av konklusjonen i den første, og med den særlige interesse som dermed er skapt for nettopp tilregnelighetsvurderi</w:t>
      </w:r>
      <w:r w:rsidR="00E5646B">
        <w:rPr>
          <w:rFonts w:ascii="Times New Roman" w:hAnsi="Times New Roman" w:cs="Times New Roman"/>
          <w:i/>
          <w:sz w:val="24"/>
          <w:szCs w:val="24"/>
        </w:rPr>
        <w:t>ngen</w:t>
      </w:r>
      <w:r w:rsidRPr="00C65A10">
        <w:rPr>
          <w:rFonts w:ascii="Times New Roman" w:hAnsi="Times New Roman" w:cs="Times New Roman"/>
          <w:i/>
          <w:sz w:val="24"/>
          <w:szCs w:val="24"/>
        </w:rPr>
        <w:t>, ber vi om at retten i prinsippet åpner for opptak av de sakkyndiges forklaring, eventuelt med konkrete referatforbud for avgrensede deler av forklaringene.</w:t>
      </w:r>
    </w:p>
    <w:p w:rsidR="00C65A10" w:rsidRDefault="00C65A10" w:rsidP="00C65A10">
      <w:pPr>
        <w:pStyle w:val="Listeavsnitt"/>
        <w:autoSpaceDE w:val="0"/>
        <w:autoSpaceDN w:val="0"/>
        <w:adjustRightInd w:val="0"/>
        <w:spacing w:after="0" w:line="240" w:lineRule="auto"/>
        <w:rPr>
          <w:rFonts w:ascii="Times New Roman" w:hAnsi="Times New Roman" w:cs="Times New Roman"/>
          <w:sz w:val="24"/>
          <w:szCs w:val="24"/>
        </w:rPr>
      </w:pPr>
    </w:p>
    <w:p w:rsidR="00F161A6" w:rsidRDefault="00F161A6" w:rsidP="00C65A10">
      <w:pPr>
        <w:pStyle w:val="Listeavsnitt"/>
        <w:autoSpaceDE w:val="0"/>
        <w:autoSpaceDN w:val="0"/>
        <w:adjustRightInd w:val="0"/>
        <w:spacing w:after="0" w:line="240" w:lineRule="auto"/>
        <w:rPr>
          <w:rFonts w:ascii="Times New Roman" w:hAnsi="Times New Roman" w:cs="Times New Roman"/>
          <w:sz w:val="24"/>
          <w:szCs w:val="24"/>
        </w:rPr>
      </w:pPr>
    </w:p>
    <w:p w:rsidR="00C65A10" w:rsidRDefault="00C65A10" w:rsidP="00A307BB">
      <w:pPr>
        <w:pStyle w:val="Listeavsnitt"/>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Det fremgår av de vitnelister som er gjort offentlige fra forsvarer og bistandsadvokater at </w:t>
      </w:r>
      <w:r w:rsidR="00DA6872">
        <w:rPr>
          <w:rFonts w:ascii="Times New Roman" w:hAnsi="Times New Roman" w:cs="Times New Roman"/>
          <w:sz w:val="24"/>
          <w:szCs w:val="24"/>
        </w:rPr>
        <w:t>disse vil føre vitner som skal uttal</w:t>
      </w:r>
      <w:r>
        <w:rPr>
          <w:rFonts w:ascii="Times New Roman" w:hAnsi="Times New Roman" w:cs="Times New Roman"/>
          <w:sz w:val="24"/>
          <w:szCs w:val="24"/>
        </w:rPr>
        <w:t xml:space="preserve">e seg om andre forhold enn </w:t>
      </w:r>
      <w:r w:rsidR="00DA6872">
        <w:rPr>
          <w:rFonts w:ascii="Times New Roman" w:hAnsi="Times New Roman" w:cs="Times New Roman"/>
          <w:sz w:val="24"/>
          <w:szCs w:val="24"/>
        </w:rPr>
        <w:t xml:space="preserve">selve </w:t>
      </w:r>
      <w:r>
        <w:rPr>
          <w:rFonts w:ascii="Times New Roman" w:hAnsi="Times New Roman" w:cs="Times New Roman"/>
          <w:sz w:val="24"/>
          <w:szCs w:val="24"/>
        </w:rPr>
        <w:t>drapene i Oslo og på Utøya. Vitnene skal åpenba</w:t>
      </w:r>
      <w:r w:rsidR="00DA6872">
        <w:rPr>
          <w:rFonts w:ascii="Times New Roman" w:hAnsi="Times New Roman" w:cs="Times New Roman"/>
          <w:sz w:val="24"/>
          <w:szCs w:val="24"/>
        </w:rPr>
        <w:t>rt uttale seg om forhold som</w:t>
      </w:r>
      <w:r>
        <w:rPr>
          <w:rFonts w:ascii="Times New Roman" w:hAnsi="Times New Roman" w:cs="Times New Roman"/>
          <w:sz w:val="24"/>
          <w:szCs w:val="24"/>
        </w:rPr>
        <w:t xml:space="preserve"> angå</w:t>
      </w:r>
      <w:r w:rsidR="00DA6872">
        <w:rPr>
          <w:rFonts w:ascii="Times New Roman" w:hAnsi="Times New Roman" w:cs="Times New Roman"/>
          <w:sz w:val="24"/>
          <w:szCs w:val="24"/>
        </w:rPr>
        <w:t>r</w:t>
      </w:r>
      <w:r>
        <w:rPr>
          <w:rFonts w:ascii="Times New Roman" w:hAnsi="Times New Roman" w:cs="Times New Roman"/>
          <w:sz w:val="24"/>
          <w:szCs w:val="24"/>
        </w:rPr>
        <w:t xml:space="preserve"> vurderingen av </w:t>
      </w:r>
      <w:r w:rsidR="00DA6872">
        <w:rPr>
          <w:rFonts w:ascii="Times New Roman" w:hAnsi="Times New Roman" w:cs="Times New Roman"/>
          <w:sz w:val="24"/>
          <w:szCs w:val="24"/>
        </w:rPr>
        <w:t xml:space="preserve">tiltaltes tilregnelighet. Vitnelisten viser dessuten </w:t>
      </w:r>
      <w:r>
        <w:rPr>
          <w:rFonts w:ascii="Times New Roman" w:hAnsi="Times New Roman" w:cs="Times New Roman"/>
          <w:sz w:val="24"/>
          <w:szCs w:val="24"/>
        </w:rPr>
        <w:t xml:space="preserve">at de i stor grad består av ”profesjonelle” eller </w:t>
      </w:r>
      <w:r w:rsidR="00DA6872">
        <w:rPr>
          <w:rFonts w:ascii="Times New Roman" w:hAnsi="Times New Roman" w:cs="Times New Roman"/>
          <w:sz w:val="24"/>
          <w:szCs w:val="24"/>
        </w:rPr>
        <w:t>”</w:t>
      </w:r>
      <w:r>
        <w:rPr>
          <w:rFonts w:ascii="Times New Roman" w:hAnsi="Times New Roman" w:cs="Times New Roman"/>
          <w:sz w:val="24"/>
          <w:szCs w:val="24"/>
        </w:rPr>
        <w:t>offentlige personer</w:t>
      </w:r>
      <w:r w:rsidR="00DA6872">
        <w:rPr>
          <w:rFonts w:ascii="Times New Roman" w:hAnsi="Times New Roman" w:cs="Times New Roman"/>
          <w:sz w:val="24"/>
          <w:szCs w:val="24"/>
        </w:rPr>
        <w:t>”</w:t>
      </w:r>
      <w:r>
        <w:rPr>
          <w:rFonts w:ascii="Times New Roman" w:hAnsi="Times New Roman" w:cs="Times New Roman"/>
          <w:sz w:val="24"/>
          <w:szCs w:val="24"/>
        </w:rPr>
        <w:t xml:space="preserve"> som er vel vant til å opptre i forsamlinger og i medier.</w:t>
      </w:r>
    </w:p>
    <w:p w:rsidR="00C65A10" w:rsidRDefault="00C65A10" w:rsidP="00C65A10">
      <w:pPr>
        <w:pStyle w:val="Listeavsnitt"/>
        <w:autoSpaceDE w:val="0"/>
        <w:autoSpaceDN w:val="0"/>
        <w:adjustRightInd w:val="0"/>
        <w:spacing w:after="0" w:line="240" w:lineRule="auto"/>
        <w:rPr>
          <w:rFonts w:ascii="Times New Roman" w:hAnsi="Times New Roman" w:cs="Times New Roman"/>
          <w:sz w:val="24"/>
          <w:szCs w:val="24"/>
        </w:rPr>
      </w:pPr>
    </w:p>
    <w:p w:rsidR="00C65A10" w:rsidRPr="00DA6872" w:rsidRDefault="00C65A10" w:rsidP="00C65A10">
      <w:pPr>
        <w:pStyle w:val="Listeavsnitt"/>
        <w:autoSpaceDE w:val="0"/>
        <w:autoSpaceDN w:val="0"/>
        <w:adjustRightInd w:val="0"/>
        <w:spacing w:after="0" w:line="240" w:lineRule="auto"/>
        <w:rPr>
          <w:rFonts w:ascii="Times New Roman" w:hAnsi="Times New Roman" w:cs="Times New Roman"/>
          <w:i/>
          <w:sz w:val="24"/>
          <w:szCs w:val="24"/>
        </w:rPr>
      </w:pPr>
      <w:r w:rsidRPr="00DA6872">
        <w:rPr>
          <w:rFonts w:ascii="Times New Roman" w:hAnsi="Times New Roman" w:cs="Times New Roman"/>
          <w:i/>
          <w:sz w:val="24"/>
          <w:szCs w:val="24"/>
        </w:rPr>
        <w:t>Med henvisning til dette ber vi om at retten åpner for opptak av forklaringene</w:t>
      </w:r>
      <w:r w:rsidR="00DA6872" w:rsidRPr="00DA6872">
        <w:rPr>
          <w:rFonts w:ascii="Times New Roman" w:hAnsi="Times New Roman" w:cs="Times New Roman"/>
          <w:i/>
          <w:sz w:val="24"/>
          <w:szCs w:val="24"/>
        </w:rPr>
        <w:t xml:space="preserve"> til forsvarets og bistandsadvokatenes vitner, eventuelt med unntak for enkelte vitner som ikke inngår under betegnelsen ”profesjonell” eller ”offentlig person”.</w:t>
      </w:r>
    </w:p>
    <w:p w:rsidR="00C65A10" w:rsidRDefault="00C65A10" w:rsidP="00C65A10">
      <w:pPr>
        <w:pStyle w:val="Listeavsnitt"/>
        <w:autoSpaceDE w:val="0"/>
        <w:autoSpaceDN w:val="0"/>
        <w:adjustRightInd w:val="0"/>
        <w:spacing w:after="0" w:line="240" w:lineRule="auto"/>
        <w:rPr>
          <w:rFonts w:ascii="Times New Roman" w:hAnsi="Times New Roman" w:cs="Times New Roman"/>
          <w:sz w:val="24"/>
          <w:szCs w:val="24"/>
        </w:rPr>
      </w:pPr>
    </w:p>
    <w:p w:rsidR="00F161A6" w:rsidRDefault="00F161A6" w:rsidP="00C65A10">
      <w:pPr>
        <w:pStyle w:val="Listeavsnitt"/>
        <w:autoSpaceDE w:val="0"/>
        <w:autoSpaceDN w:val="0"/>
        <w:adjustRightInd w:val="0"/>
        <w:spacing w:after="0" w:line="240" w:lineRule="auto"/>
        <w:rPr>
          <w:rFonts w:ascii="Times New Roman" w:hAnsi="Times New Roman" w:cs="Times New Roman"/>
          <w:sz w:val="24"/>
          <w:szCs w:val="24"/>
        </w:rPr>
      </w:pPr>
    </w:p>
    <w:p w:rsidR="00C65A10" w:rsidRPr="00DA6872" w:rsidRDefault="00DA6872" w:rsidP="00A307BB">
      <w:pPr>
        <w:pStyle w:val="Listeavsnitt"/>
        <w:numPr>
          <w:ilvl w:val="0"/>
          <w:numId w:val="2"/>
        </w:numPr>
        <w:autoSpaceDE w:val="0"/>
        <w:autoSpaceDN w:val="0"/>
        <w:adjustRightInd w:val="0"/>
        <w:spacing w:after="0" w:line="240" w:lineRule="auto"/>
        <w:rPr>
          <w:rFonts w:ascii="Times New Roman" w:hAnsi="Times New Roman" w:cs="Times New Roman"/>
          <w:i/>
          <w:sz w:val="24"/>
          <w:szCs w:val="24"/>
        </w:rPr>
      </w:pPr>
      <w:r w:rsidRPr="00DA6872">
        <w:rPr>
          <w:rFonts w:ascii="Times New Roman" w:hAnsi="Times New Roman" w:cs="Times New Roman"/>
          <w:i/>
          <w:sz w:val="24"/>
          <w:szCs w:val="24"/>
        </w:rPr>
        <w:t xml:space="preserve">Med henvisning til den store interesse og engasjement som både fagmiljøer og allmennhet i anledning 22. juli-saken viser for rettspleiens bruk av sakkyndige, og for ulikheter som i den forbindelse er avdekket mellom strafferettspleien i Norge og i </w:t>
      </w:r>
      <w:r w:rsidRPr="00DA6872">
        <w:rPr>
          <w:rFonts w:ascii="Times New Roman" w:hAnsi="Times New Roman" w:cs="Times New Roman"/>
          <w:i/>
          <w:sz w:val="24"/>
          <w:szCs w:val="24"/>
        </w:rPr>
        <w:lastRenderedPageBreak/>
        <w:t>sammenlignbare land, ber vi om at alle deler av tiltaltes forklaring som ikke direkte gjelder selve drapshandlingene, også blir gjenstand for opptak.</w:t>
      </w:r>
    </w:p>
    <w:p w:rsidR="00DA6872" w:rsidRDefault="00DA6872" w:rsidP="00DA6872">
      <w:pPr>
        <w:autoSpaceDE w:val="0"/>
        <w:autoSpaceDN w:val="0"/>
        <w:adjustRightInd w:val="0"/>
        <w:spacing w:after="0" w:line="240" w:lineRule="auto"/>
        <w:rPr>
          <w:rFonts w:ascii="Times New Roman" w:hAnsi="Times New Roman" w:cs="Times New Roman"/>
          <w:sz w:val="24"/>
          <w:szCs w:val="24"/>
        </w:rPr>
      </w:pPr>
    </w:p>
    <w:p w:rsidR="00F161A6" w:rsidRDefault="00F161A6" w:rsidP="00DA6872">
      <w:pPr>
        <w:autoSpaceDE w:val="0"/>
        <w:autoSpaceDN w:val="0"/>
        <w:adjustRightInd w:val="0"/>
        <w:spacing w:after="0" w:line="240" w:lineRule="auto"/>
        <w:rPr>
          <w:rFonts w:ascii="Times New Roman" w:hAnsi="Times New Roman" w:cs="Times New Roman"/>
          <w:sz w:val="24"/>
          <w:szCs w:val="24"/>
        </w:rPr>
      </w:pPr>
    </w:p>
    <w:p w:rsidR="00DA6872" w:rsidRDefault="00DA6872" w:rsidP="00DA68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 håper at retten tar standpunkt til disse spørsmål snarest mulig</w:t>
      </w:r>
      <w:r w:rsidR="00E5646B">
        <w:rPr>
          <w:rFonts w:ascii="Times New Roman" w:hAnsi="Times New Roman" w:cs="Times New Roman"/>
          <w:sz w:val="24"/>
          <w:szCs w:val="24"/>
        </w:rPr>
        <w:t>.</w:t>
      </w:r>
      <w:r>
        <w:rPr>
          <w:rFonts w:ascii="Times New Roman" w:hAnsi="Times New Roman" w:cs="Times New Roman"/>
          <w:sz w:val="24"/>
          <w:szCs w:val="24"/>
        </w:rPr>
        <w:t xml:space="preserve"> </w:t>
      </w:r>
      <w:r w:rsidR="00E5646B">
        <w:rPr>
          <w:rFonts w:ascii="Times New Roman" w:hAnsi="Times New Roman" w:cs="Times New Roman"/>
          <w:sz w:val="24"/>
          <w:szCs w:val="24"/>
        </w:rPr>
        <w:t xml:space="preserve"> M</w:t>
      </w:r>
      <w:r>
        <w:rPr>
          <w:rFonts w:ascii="Times New Roman" w:hAnsi="Times New Roman" w:cs="Times New Roman"/>
          <w:sz w:val="24"/>
          <w:szCs w:val="24"/>
        </w:rPr>
        <w:t xml:space="preserve">ed henvisning til at retten nå har fått sin sammensetning, ber vi om at spørsmålene behandles av den samlede rett, slik </w:t>
      </w:r>
      <w:r w:rsidR="00F01DF6">
        <w:rPr>
          <w:rFonts w:ascii="Times New Roman" w:hAnsi="Times New Roman" w:cs="Times New Roman"/>
          <w:sz w:val="24"/>
          <w:szCs w:val="24"/>
        </w:rPr>
        <w:t>det er forutsatt i forarbeidene, jf straffeprosesslovkomiteens innstilling side 379.</w:t>
      </w:r>
    </w:p>
    <w:p w:rsidR="00147FFB" w:rsidRDefault="00147FFB" w:rsidP="002F7810">
      <w:pPr>
        <w:autoSpaceDE w:val="0"/>
        <w:autoSpaceDN w:val="0"/>
        <w:adjustRightInd w:val="0"/>
        <w:spacing w:after="0" w:line="240" w:lineRule="auto"/>
        <w:rPr>
          <w:rFonts w:ascii="Times New Roman" w:hAnsi="Times New Roman" w:cs="Times New Roman"/>
          <w:sz w:val="24"/>
          <w:szCs w:val="24"/>
        </w:rPr>
      </w:pPr>
    </w:p>
    <w:p w:rsidR="00147FFB" w:rsidRDefault="00147FFB" w:rsidP="002F7810">
      <w:pPr>
        <w:autoSpaceDE w:val="0"/>
        <w:autoSpaceDN w:val="0"/>
        <w:adjustRightInd w:val="0"/>
        <w:spacing w:after="0" w:line="240" w:lineRule="auto"/>
        <w:rPr>
          <w:rFonts w:ascii="Times New Roman" w:hAnsi="Times New Roman" w:cs="Times New Roman"/>
          <w:sz w:val="24"/>
          <w:szCs w:val="24"/>
        </w:rPr>
      </w:pPr>
    </w:p>
    <w:p w:rsidR="00FE2CC4" w:rsidRDefault="00FE2CC4" w:rsidP="002F7810">
      <w:pPr>
        <w:autoSpaceDE w:val="0"/>
        <w:autoSpaceDN w:val="0"/>
        <w:adjustRightInd w:val="0"/>
        <w:spacing w:after="0" w:line="240" w:lineRule="auto"/>
        <w:rPr>
          <w:rFonts w:ascii="Times New Roman" w:hAnsi="Times New Roman" w:cs="Times New Roman"/>
          <w:sz w:val="24"/>
          <w:szCs w:val="24"/>
        </w:rPr>
      </w:pPr>
    </w:p>
    <w:p w:rsidR="002F22D0" w:rsidRDefault="002F22D0" w:rsidP="002F7810">
      <w:pPr>
        <w:autoSpaceDE w:val="0"/>
        <w:autoSpaceDN w:val="0"/>
        <w:adjustRightInd w:val="0"/>
        <w:spacing w:after="0" w:line="240" w:lineRule="auto"/>
        <w:rPr>
          <w:rFonts w:ascii="Times New Roman" w:hAnsi="Times New Roman" w:cs="Times New Roman"/>
          <w:sz w:val="24"/>
          <w:szCs w:val="24"/>
        </w:rPr>
      </w:pPr>
    </w:p>
    <w:p w:rsidR="00FE2CC4" w:rsidRDefault="00FE2CC4" w:rsidP="002F22D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Med vennlig hilsen</w:t>
      </w:r>
    </w:p>
    <w:p w:rsidR="002F22D0" w:rsidRDefault="002F22D0" w:rsidP="002F22D0">
      <w:pPr>
        <w:autoSpaceDE w:val="0"/>
        <w:autoSpaceDN w:val="0"/>
        <w:adjustRightInd w:val="0"/>
        <w:spacing w:after="0" w:line="240" w:lineRule="auto"/>
        <w:jc w:val="center"/>
        <w:rPr>
          <w:rFonts w:ascii="Times New Roman" w:hAnsi="Times New Roman" w:cs="Times New Roman"/>
          <w:sz w:val="24"/>
          <w:szCs w:val="24"/>
        </w:rPr>
      </w:pPr>
    </w:p>
    <w:p w:rsidR="002F22D0" w:rsidRDefault="002F22D0" w:rsidP="002F7810">
      <w:pPr>
        <w:autoSpaceDE w:val="0"/>
        <w:autoSpaceDN w:val="0"/>
        <w:adjustRightInd w:val="0"/>
        <w:spacing w:after="0" w:line="240" w:lineRule="auto"/>
        <w:rPr>
          <w:rFonts w:ascii="Times New Roman" w:hAnsi="Times New Roman" w:cs="Times New Roman"/>
          <w:sz w:val="24"/>
          <w:szCs w:val="24"/>
        </w:rPr>
      </w:pPr>
    </w:p>
    <w:p w:rsidR="00FE2CC4" w:rsidRDefault="002F22D0" w:rsidP="002F78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Norsk Presseforbund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Norsk Redaktørforening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E2CC4" w:rsidRDefault="00F01DF6" w:rsidP="002F78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5400" cy="1139522"/>
            <wp:effectExtent l="19050" t="0" r="0" b="0"/>
            <wp:docPr id="4" name="Bilde 3" descr="Kokkvold blå lit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kkvold blå liteni.jpg"/>
                    <pic:cNvPicPr/>
                  </pic:nvPicPr>
                  <pic:blipFill>
                    <a:blip r:embed="rId7" cstate="print"/>
                    <a:stretch>
                      <a:fillRect/>
                    </a:stretch>
                  </pic:blipFill>
                  <pic:spPr>
                    <a:xfrm>
                      <a:off x="0" y="0"/>
                      <a:ext cx="1295400" cy="1139522"/>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341120" cy="737616"/>
            <wp:effectExtent l="19050" t="0" r="0" b="0"/>
            <wp:docPr id="5" name="Bilde 4" descr="NILS signa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S signatur.jpg"/>
                    <pic:cNvPicPr/>
                  </pic:nvPicPr>
                  <pic:blipFill>
                    <a:blip r:embed="rId8" cstate="print"/>
                    <a:stretch>
                      <a:fillRect/>
                    </a:stretch>
                  </pic:blipFill>
                  <pic:spPr>
                    <a:xfrm>
                      <a:off x="0" y="0"/>
                      <a:ext cx="1341120" cy="737616"/>
                    </a:xfrm>
                    <a:prstGeom prst="rect">
                      <a:avLst/>
                    </a:prstGeom>
                  </pic:spPr>
                </pic:pic>
              </a:graphicData>
            </a:graphic>
          </wp:inline>
        </w:drawing>
      </w:r>
    </w:p>
    <w:p w:rsidR="002F22D0" w:rsidRDefault="002F22D0" w:rsidP="002F22D0">
      <w:pPr>
        <w:autoSpaceDE w:val="0"/>
        <w:autoSpaceDN w:val="0"/>
        <w:adjustRightInd w:val="0"/>
        <w:spacing w:after="0" w:line="240" w:lineRule="auto"/>
        <w:rPr>
          <w:rFonts w:ascii="Times New Roman" w:hAnsi="Times New Roman" w:cs="Times New Roman"/>
          <w:sz w:val="24"/>
          <w:szCs w:val="24"/>
        </w:rPr>
      </w:pPr>
    </w:p>
    <w:p w:rsidR="002F22D0" w:rsidRDefault="002F22D0" w:rsidP="002F22D0">
      <w:pPr>
        <w:autoSpaceDE w:val="0"/>
        <w:autoSpaceDN w:val="0"/>
        <w:adjustRightInd w:val="0"/>
        <w:spacing w:after="0" w:line="240" w:lineRule="auto"/>
        <w:rPr>
          <w:rFonts w:ascii="Times New Roman" w:hAnsi="Times New Roman" w:cs="Times New Roman"/>
          <w:sz w:val="24"/>
          <w:szCs w:val="24"/>
        </w:rPr>
      </w:pPr>
    </w:p>
    <w:p w:rsidR="00FE2CC4" w:rsidRDefault="002F22D0" w:rsidP="002F22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Per-Edgar Kokkvold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2CC4">
        <w:rPr>
          <w:rFonts w:ascii="Times New Roman" w:hAnsi="Times New Roman" w:cs="Times New Roman"/>
          <w:sz w:val="24"/>
          <w:szCs w:val="24"/>
        </w:rPr>
        <w:t>Nils E. Øy</w:t>
      </w:r>
    </w:p>
    <w:p w:rsidR="002F22D0" w:rsidRDefault="002F22D0" w:rsidP="002F22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Generalsekretær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Generalsekretær</w:t>
      </w:r>
    </w:p>
    <w:p w:rsidR="002F22D0" w:rsidRDefault="002F22D0" w:rsidP="002F7810">
      <w:pPr>
        <w:autoSpaceDE w:val="0"/>
        <w:autoSpaceDN w:val="0"/>
        <w:adjustRightInd w:val="0"/>
        <w:spacing w:after="0" w:line="240" w:lineRule="auto"/>
        <w:rPr>
          <w:rFonts w:ascii="Times New Roman" w:hAnsi="Times New Roman" w:cs="Times New Roman"/>
          <w:sz w:val="24"/>
          <w:szCs w:val="24"/>
        </w:rPr>
      </w:pPr>
    </w:p>
    <w:p w:rsidR="00FE2CC4" w:rsidRDefault="00FE2CC4" w:rsidP="002F7810">
      <w:pPr>
        <w:autoSpaceDE w:val="0"/>
        <w:autoSpaceDN w:val="0"/>
        <w:adjustRightInd w:val="0"/>
        <w:spacing w:after="0" w:line="240" w:lineRule="auto"/>
        <w:rPr>
          <w:rFonts w:ascii="Times New Roman" w:hAnsi="Times New Roman" w:cs="Times New Roman"/>
          <w:sz w:val="24"/>
          <w:szCs w:val="24"/>
        </w:rPr>
      </w:pPr>
    </w:p>
    <w:p w:rsidR="00FE2CC4" w:rsidRPr="007E4900" w:rsidRDefault="00FE2CC4" w:rsidP="002F7810">
      <w:pPr>
        <w:autoSpaceDE w:val="0"/>
        <w:autoSpaceDN w:val="0"/>
        <w:adjustRightInd w:val="0"/>
        <w:spacing w:after="0" w:line="240" w:lineRule="auto"/>
        <w:rPr>
          <w:rFonts w:ascii="Times New Roman" w:hAnsi="Times New Roman" w:cs="Times New Roman"/>
          <w:sz w:val="24"/>
          <w:szCs w:val="24"/>
        </w:rPr>
      </w:pPr>
    </w:p>
    <w:sectPr w:rsidR="00FE2CC4" w:rsidRPr="007E4900" w:rsidSect="002F7810">
      <w:pgSz w:w="11906" w:h="16838"/>
      <w:pgMar w:top="85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B6562"/>
    <w:multiLevelType w:val="hybridMultilevel"/>
    <w:tmpl w:val="7046B0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323962CB"/>
    <w:multiLevelType w:val="hybridMultilevel"/>
    <w:tmpl w:val="D894521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trackRevisions/>
  <w:defaultTabStop w:val="708"/>
  <w:hyphenationZone w:val="425"/>
  <w:characterSpacingControl w:val="doNotCompress"/>
  <w:compat>
    <w:useFELayout/>
  </w:compat>
  <w:rsids>
    <w:rsidRoot w:val="007E4900"/>
    <w:rsid w:val="0006351D"/>
    <w:rsid w:val="00147FFB"/>
    <w:rsid w:val="002847FB"/>
    <w:rsid w:val="002F22D0"/>
    <w:rsid w:val="002F7810"/>
    <w:rsid w:val="00354299"/>
    <w:rsid w:val="005201AC"/>
    <w:rsid w:val="00577EB6"/>
    <w:rsid w:val="00752E36"/>
    <w:rsid w:val="007969AF"/>
    <w:rsid w:val="007E4900"/>
    <w:rsid w:val="009977DA"/>
    <w:rsid w:val="00A307BB"/>
    <w:rsid w:val="00A6332B"/>
    <w:rsid w:val="00A96AA3"/>
    <w:rsid w:val="00BB54AF"/>
    <w:rsid w:val="00C63654"/>
    <w:rsid w:val="00C65A10"/>
    <w:rsid w:val="00CA4DCA"/>
    <w:rsid w:val="00CB6204"/>
    <w:rsid w:val="00D265D8"/>
    <w:rsid w:val="00D36F74"/>
    <w:rsid w:val="00D95D7A"/>
    <w:rsid w:val="00DA6872"/>
    <w:rsid w:val="00E32EC0"/>
    <w:rsid w:val="00E5646B"/>
    <w:rsid w:val="00E57ECD"/>
    <w:rsid w:val="00E80C92"/>
    <w:rsid w:val="00E90D1F"/>
    <w:rsid w:val="00F01DF6"/>
    <w:rsid w:val="00F161A6"/>
    <w:rsid w:val="00F23A5E"/>
    <w:rsid w:val="00FE2CC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1A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2F781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F7810"/>
    <w:rPr>
      <w:rFonts w:ascii="Tahoma" w:hAnsi="Tahoma" w:cs="Tahoma"/>
      <w:sz w:val="16"/>
      <w:szCs w:val="16"/>
    </w:rPr>
  </w:style>
  <w:style w:type="character" w:styleId="Hyperkobling">
    <w:name w:val="Hyperlink"/>
    <w:basedOn w:val="Standardskriftforavsnitt"/>
    <w:uiPriority w:val="99"/>
    <w:unhideWhenUsed/>
    <w:rsid w:val="002F7810"/>
    <w:rPr>
      <w:color w:val="0000FF" w:themeColor="hyperlink"/>
      <w:u w:val="single"/>
    </w:rPr>
  </w:style>
  <w:style w:type="paragraph" w:styleId="Listeavsnitt">
    <w:name w:val="List Paragraph"/>
    <w:basedOn w:val="Normal"/>
    <w:uiPriority w:val="34"/>
    <w:qFormat/>
    <w:rsid w:val="00147F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s\AppData\Roaming\Microsoft\Maler\NR-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NR-brev.dotx</Template>
  <TotalTime>4</TotalTime>
  <Pages>3</Pages>
  <Words>751</Words>
  <Characters>3981</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nils</cp:lastModifiedBy>
  <cp:revision>2</cp:revision>
  <dcterms:created xsi:type="dcterms:W3CDTF">2012-04-11T08:30:00Z</dcterms:created>
  <dcterms:modified xsi:type="dcterms:W3CDTF">2012-04-11T08:30:00Z</dcterms:modified>
</cp:coreProperties>
</file>