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E6" w:rsidRPr="00462118" w:rsidRDefault="007C7D73">
      <w:pPr>
        <w:rPr>
          <w:rFonts w:ascii="Calibri" w:hAnsi="Calibri"/>
          <w:b/>
          <w:sz w:val="28"/>
          <w:szCs w:val="28"/>
          <w:u w:val="single"/>
        </w:rPr>
      </w:pPr>
      <w:r w:rsidRPr="00462118">
        <w:rPr>
          <w:rFonts w:ascii="Calibri" w:hAnsi="Calibri"/>
          <w:b/>
          <w:sz w:val="28"/>
          <w:szCs w:val="28"/>
          <w:u w:val="single"/>
        </w:rPr>
        <w:t xml:space="preserve">22. juli rettssaken – </w:t>
      </w:r>
      <w:r w:rsidR="009B0382" w:rsidRPr="00462118">
        <w:rPr>
          <w:rFonts w:ascii="Calibri" w:hAnsi="Calibri"/>
          <w:b/>
          <w:sz w:val="28"/>
          <w:szCs w:val="28"/>
          <w:u w:val="single"/>
        </w:rPr>
        <w:t xml:space="preserve">informasjon om TV og nett-TV </w:t>
      </w:r>
      <w:r w:rsidRPr="00462118">
        <w:rPr>
          <w:rFonts w:ascii="Calibri" w:hAnsi="Calibri"/>
          <w:b/>
          <w:sz w:val="28"/>
          <w:szCs w:val="28"/>
          <w:u w:val="single"/>
        </w:rPr>
        <w:t>pool</w:t>
      </w:r>
    </w:p>
    <w:p w:rsidR="007C7D73" w:rsidRPr="00462118" w:rsidRDefault="007C7D73">
      <w:pPr>
        <w:rPr>
          <w:rFonts w:ascii="Calibri" w:hAnsi="Calibri"/>
          <w:b/>
          <w:sz w:val="28"/>
          <w:szCs w:val="28"/>
          <w:u w:val="single"/>
        </w:rPr>
      </w:pPr>
    </w:p>
    <w:p w:rsidR="007C7D73" w:rsidRPr="00462118" w:rsidRDefault="007C7D73">
      <w:pPr>
        <w:rPr>
          <w:rFonts w:ascii="Calibri" w:hAnsi="Calibri"/>
        </w:rPr>
      </w:pPr>
      <w:r w:rsidRPr="00462118">
        <w:rPr>
          <w:rFonts w:ascii="Calibri" w:hAnsi="Calibri"/>
        </w:rPr>
        <w:t>NRK skal på oppdrag av Domstol Administrasjonen lage en fullkvalitets TV-produksjon av hele 22. juli rettssaken. Denne bildeproduksjonen skal direkteoverføres til diverse rettssaler og pressesentre i og utenfor Oslo Tinghus.</w:t>
      </w:r>
      <w:r w:rsidR="00B014B4" w:rsidRPr="00462118">
        <w:rPr>
          <w:rFonts w:ascii="Calibri" w:hAnsi="Calibri"/>
        </w:rPr>
        <w:t xml:space="preserve"> </w:t>
      </w:r>
      <w:r w:rsidR="001E3CD2" w:rsidRPr="00462118">
        <w:rPr>
          <w:rFonts w:ascii="Calibri" w:hAnsi="Calibri"/>
        </w:rPr>
        <w:t>Det gjøres også opptak til Riksarkivet. P</w:t>
      </w:r>
      <w:r w:rsidR="00B014B4" w:rsidRPr="00462118">
        <w:rPr>
          <w:rFonts w:ascii="Calibri" w:hAnsi="Calibri"/>
        </w:rPr>
        <w:t xml:space="preserve">roduksjonen betales for det meste av Domstol Administrasjonen, blir i </w:t>
      </w:r>
      <w:r w:rsidR="00767016">
        <w:rPr>
          <w:rFonts w:ascii="Calibri" w:hAnsi="Calibri"/>
        </w:rPr>
        <w:t>mye av tiden</w:t>
      </w:r>
      <w:r w:rsidR="00B014B4" w:rsidRPr="00462118">
        <w:rPr>
          <w:rFonts w:ascii="Calibri" w:hAnsi="Calibri"/>
        </w:rPr>
        <w:t xml:space="preserve"> ikke tilgjengelig for overføring på TV, nett-TV og radio og går sin gang uavhengig av hva retten har </w:t>
      </w:r>
      <w:r w:rsidR="001E3CD2" w:rsidRPr="00462118">
        <w:rPr>
          <w:rFonts w:ascii="Calibri" w:hAnsi="Calibri"/>
        </w:rPr>
        <w:t xml:space="preserve">tillat og ikke tillat </w:t>
      </w:r>
      <w:r w:rsidR="00B014B4" w:rsidRPr="00462118">
        <w:rPr>
          <w:rFonts w:ascii="Calibri" w:hAnsi="Calibri"/>
        </w:rPr>
        <w:t>av offentlig publisering.</w:t>
      </w:r>
    </w:p>
    <w:p w:rsidR="00B014B4" w:rsidRPr="00462118" w:rsidRDefault="00B014B4">
      <w:pPr>
        <w:rPr>
          <w:rFonts w:ascii="Calibri" w:hAnsi="Calibri"/>
        </w:rPr>
      </w:pPr>
    </w:p>
    <w:p w:rsidR="000855F9" w:rsidRDefault="00B014B4">
      <w:pPr>
        <w:rPr>
          <w:rFonts w:ascii="Calibri" w:hAnsi="Calibri"/>
        </w:rPr>
      </w:pPr>
      <w:r w:rsidRPr="00462118">
        <w:rPr>
          <w:rFonts w:ascii="Calibri" w:hAnsi="Calibri"/>
        </w:rPr>
        <w:t xml:space="preserve">Retten </w:t>
      </w:r>
      <w:r w:rsidR="009B0382" w:rsidRPr="00462118">
        <w:rPr>
          <w:rFonts w:ascii="Calibri" w:hAnsi="Calibri"/>
        </w:rPr>
        <w:t>tillater</w:t>
      </w:r>
      <w:r w:rsidRPr="00462118">
        <w:rPr>
          <w:rFonts w:ascii="Calibri" w:hAnsi="Calibri"/>
        </w:rPr>
        <w:t xml:space="preserve"> at noen deler av saken </w:t>
      </w:r>
      <w:r w:rsidR="001E3CD2" w:rsidRPr="00462118">
        <w:rPr>
          <w:rFonts w:ascii="Calibri" w:hAnsi="Calibri"/>
        </w:rPr>
        <w:t xml:space="preserve">og TV-produksjonen </w:t>
      </w:r>
      <w:r w:rsidRPr="00462118">
        <w:rPr>
          <w:rFonts w:ascii="Calibri" w:hAnsi="Calibri"/>
        </w:rPr>
        <w:t xml:space="preserve">kan overføres direkte eller litt forsinket i mediene. </w:t>
      </w:r>
      <w:r w:rsidR="006D70B1" w:rsidRPr="00462118">
        <w:rPr>
          <w:rFonts w:ascii="Calibri" w:hAnsi="Calibri"/>
        </w:rPr>
        <w:t xml:space="preserve">Det er ikke </w:t>
      </w:r>
      <w:r w:rsidR="00767016">
        <w:rPr>
          <w:rFonts w:ascii="Calibri" w:hAnsi="Calibri"/>
        </w:rPr>
        <w:t>fullt ut</w:t>
      </w:r>
      <w:r w:rsidR="006D70B1" w:rsidRPr="00462118">
        <w:rPr>
          <w:rFonts w:ascii="Calibri" w:hAnsi="Calibri"/>
        </w:rPr>
        <w:t xml:space="preserve"> avgjort hva mediene får sende, men vi anslår at </w:t>
      </w:r>
      <w:r w:rsidR="004562AF" w:rsidRPr="00462118">
        <w:rPr>
          <w:rFonts w:ascii="Calibri" w:hAnsi="Calibri"/>
        </w:rPr>
        <w:t xml:space="preserve">ca </w:t>
      </w:r>
      <w:r w:rsidR="006D70B1" w:rsidRPr="00462118">
        <w:rPr>
          <w:rFonts w:ascii="Calibri" w:hAnsi="Calibri"/>
        </w:rPr>
        <w:t xml:space="preserve">15 % av rettssaken åpnes opp for utsendelse. </w:t>
      </w:r>
      <w:r w:rsidRPr="00462118">
        <w:rPr>
          <w:rFonts w:ascii="Calibri" w:hAnsi="Calibri"/>
        </w:rPr>
        <w:t>De dagene dette gjelder</w:t>
      </w:r>
      <w:r w:rsidR="00767016">
        <w:rPr>
          <w:rFonts w:ascii="Calibri" w:hAnsi="Calibri"/>
        </w:rPr>
        <w:t>,</w:t>
      </w:r>
      <w:r w:rsidRPr="00462118">
        <w:rPr>
          <w:rFonts w:ascii="Calibri" w:hAnsi="Calibri"/>
        </w:rPr>
        <w:t xml:space="preserve"> betaler mediene ved NRK selv produksjonskostnadene.</w:t>
      </w:r>
      <w:r w:rsidR="009B0382" w:rsidRPr="00462118">
        <w:rPr>
          <w:rFonts w:ascii="Calibri" w:hAnsi="Calibri"/>
        </w:rPr>
        <w:t xml:space="preserve"> Det</w:t>
      </w:r>
      <w:r w:rsidR="001E3CD2" w:rsidRPr="00462118">
        <w:rPr>
          <w:rFonts w:ascii="Calibri" w:hAnsi="Calibri"/>
        </w:rPr>
        <w:t>te</w:t>
      </w:r>
      <w:r w:rsidR="009B0382" w:rsidRPr="00462118">
        <w:rPr>
          <w:rFonts w:ascii="Calibri" w:hAnsi="Calibri"/>
        </w:rPr>
        <w:t xml:space="preserve"> gjelder også poolproduksjonen av de daglige pressekonferansene etter at retten er hevet og </w:t>
      </w:r>
      <w:r w:rsidR="00767016">
        <w:rPr>
          <w:rFonts w:ascii="Calibri" w:hAnsi="Calibri"/>
        </w:rPr>
        <w:t>TV-</w:t>
      </w:r>
      <w:r w:rsidR="009B0382" w:rsidRPr="00462118">
        <w:rPr>
          <w:rFonts w:ascii="Calibri" w:hAnsi="Calibri"/>
        </w:rPr>
        <w:t>bilder fra sal 250 når aktørene ankommer om morgenen.</w:t>
      </w:r>
      <w:r w:rsidR="00767016">
        <w:rPr>
          <w:rFonts w:ascii="Calibri" w:hAnsi="Calibri"/>
        </w:rPr>
        <w:t xml:space="preserve"> </w:t>
      </w:r>
    </w:p>
    <w:p w:rsidR="000855F9" w:rsidRDefault="000855F9">
      <w:pPr>
        <w:rPr>
          <w:rFonts w:ascii="Calibri" w:hAnsi="Calibri"/>
        </w:rPr>
      </w:pPr>
    </w:p>
    <w:p w:rsidR="000855F9" w:rsidRDefault="000855F9">
      <w:pPr>
        <w:rPr>
          <w:rFonts w:ascii="Calibri" w:hAnsi="Calibri"/>
        </w:rPr>
      </w:pPr>
      <w:r>
        <w:rPr>
          <w:rFonts w:ascii="Calibri" w:hAnsi="Calibri"/>
        </w:rPr>
        <w:t>Pooldeltagere får rett til å vise bildene på egne plattformer og rett til etterbruk. Pooldeltagere har ikke rett til å distribuere bildene videre til samarbeidspartnere eller til å selge dem.</w:t>
      </w:r>
    </w:p>
    <w:p w:rsidR="000855F9" w:rsidRDefault="000855F9">
      <w:pPr>
        <w:rPr>
          <w:rFonts w:ascii="Calibri" w:hAnsi="Calibri"/>
        </w:rPr>
      </w:pPr>
    </w:p>
    <w:p w:rsidR="001E3CD2" w:rsidRPr="00462118" w:rsidRDefault="00767016">
      <w:pPr>
        <w:rPr>
          <w:rFonts w:ascii="Calibri" w:hAnsi="Calibri"/>
        </w:rPr>
      </w:pPr>
      <w:r>
        <w:rPr>
          <w:rFonts w:ascii="Calibri" w:hAnsi="Calibri"/>
        </w:rPr>
        <w:t>NRK har</w:t>
      </w:r>
      <w:r w:rsidR="001E3CD2" w:rsidRPr="00462118">
        <w:rPr>
          <w:rFonts w:ascii="Calibri" w:hAnsi="Calibri"/>
        </w:rPr>
        <w:t xml:space="preserve"> laget priser for deltagelse i poolen med</w:t>
      </w:r>
      <w:r w:rsidR="00EE413F" w:rsidRPr="00462118">
        <w:rPr>
          <w:rFonts w:ascii="Calibri" w:hAnsi="Calibri"/>
        </w:rPr>
        <w:t xml:space="preserve"> utgangspunkt i et selvkostprinsipp.</w:t>
      </w:r>
      <w:r w:rsidR="004562AF" w:rsidRPr="00462118">
        <w:rPr>
          <w:rFonts w:ascii="Calibri" w:hAnsi="Calibri"/>
        </w:rPr>
        <w:t xml:space="preserve"> Prisingen er basert på et antatt antall deltagere i ulike kategorie</w:t>
      </w:r>
      <w:r>
        <w:rPr>
          <w:rFonts w:ascii="Calibri" w:hAnsi="Calibri"/>
        </w:rPr>
        <w:t>r</w:t>
      </w:r>
      <w:r w:rsidR="004562AF" w:rsidRPr="00462118">
        <w:rPr>
          <w:rFonts w:ascii="Calibri" w:hAnsi="Calibri"/>
        </w:rPr>
        <w:t>.</w:t>
      </w:r>
      <w:r w:rsidR="0086031A">
        <w:rPr>
          <w:rFonts w:ascii="Calibri" w:hAnsi="Calibri"/>
        </w:rPr>
        <w:t xml:space="preserve"> Dersom antall pool-deltagere i kategori 2 og 3 blir vesentlig større enn NRKs beregning tilsier, vil prisen i disse kategoriene gå ned. Dersom antall deltagere her blir lavere enn beregnet dekker NRK underskuddet og prisene beholdes som angitt.</w:t>
      </w:r>
    </w:p>
    <w:p w:rsidR="00EE413F" w:rsidRPr="00462118" w:rsidRDefault="00EE413F">
      <w:pPr>
        <w:rPr>
          <w:rFonts w:ascii="Calibri" w:hAnsi="Calibri"/>
        </w:rPr>
      </w:pPr>
    </w:p>
    <w:p w:rsidR="00EE413F" w:rsidRPr="00767016" w:rsidRDefault="00EE413F">
      <w:pPr>
        <w:rPr>
          <w:rFonts w:ascii="Calibri" w:hAnsi="Calibri"/>
          <w:b/>
        </w:rPr>
      </w:pPr>
      <w:r w:rsidRPr="00767016">
        <w:rPr>
          <w:rFonts w:ascii="Calibri" w:hAnsi="Calibri"/>
          <w:b/>
        </w:rPr>
        <w:t>Priser:</w:t>
      </w:r>
    </w:p>
    <w:p w:rsidR="00EE413F" w:rsidRPr="00462118" w:rsidRDefault="00EE413F">
      <w:pPr>
        <w:rPr>
          <w:rFonts w:ascii="Calibri" w:hAnsi="Calibri"/>
        </w:rPr>
      </w:pPr>
      <w:r w:rsidRPr="00462118">
        <w:rPr>
          <w:rFonts w:ascii="Calibri" w:hAnsi="Calibri"/>
        </w:rPr>
        <w:t>NRK finner det i denne saken urimelig at alle deltagere i poolen betaler det samme</w:t>
      </w:r>
      <w:r w:rsidR="006D70B1" w:rsidRPr="00462118">
        <w:rPr>
          <w:rFonts w:ascii="Calibri" w:hAnsi="Calibri"/>
        </w:rPr>
        <w:t xml:space="preserve"> uavhengig av </w:t>
      </w:r>
      <w:r w:rsidR="00A303FD">
        <w:rPr>
          <w:rFonts w:ascii="Calibri" w:hAnsi="Calibri"/>
        </w:rPr>
        <w:t xml:space="preserve">mediehusets </w:t>
      </w:r>
      <w:r w:rsidR="006D70B1" w:rsidRPr="00462118">
        <w:rPr>
          <w:rFonts w:ascii="Calibri" w:hAnsi="Calibri"/>
        </w:rPr>
        <w:t>størrelse og dekningsområde</w:t>
      </w:r>
      <w:r w:rsidRPr="00462118">
        <w:rPr>
          <w:rFonts w:ascii="Calibri" w:hAnsi="Calibri"/>
        </w:rPr>
        <w:t xml:space="preserve">. Vi har derfor delt </w:t>
      </w:r>
      <w:r w:rsidR="006D70B1" w:rsidRPr="00462118">
        <w:rPr>
          <w:rFonts w:ascii="Calibri" w:hAnsi="Calibri"/>
        </w:rPr>
        <w:t xml:space="preserve">de norske </w:t>
      </w:r>
      <w:r w:rsidRPr="00462118">
        <w:rPr>
          <w:rFonts w:ascii="Calibri" w:hAnsi="Calibri"/>
        </w:rPr>
        <w:t xml:space="preserve">pooldeltagerne inn i </w:t>
      </w:r>
      <w:r w:rsidR="006D70B1" w:rsidRPr="00462118">
        <w:rPr>
          <w:rFonts w:ascii="Calibri" w:hAnsi="Calibri"/>
        </w:rPr>
        <w:t>tre</w:t>
      </w:r>
      <w:r w:rsidRPr="00462118">
        <w:rPr>
          <w:rFonts w:ascii="Calibri" w:hAnsi="Calibri"/>
        </w:rPr>
        <w:t xml:space="preserve"> kategorier med ulike prisnivåer</w:t>
      </w:r>
      <w:r w:rsidR="006D70B1" w:rsidRPr="00462118">
        <w:rPr>
          <w:rFonts w:ascii="Calibri" w:hAnsi="Calibri"/>
        </w:rPr>
        <w:t>. Det blir</w:t>
      </w:r>
      <w:r w:rsidR="00A303FD">
        <w:rPr>
          <w:rFonts w:ascii="Calibri" w:hAnsi="Calibri"/>
        </w:rPr>
        <w:t xml:space="preserve"> også</w:t>
      </w:r>
      <w:r w:rsidR="006D70B1" w:rsidRPr="00462118">
        <w:rPr>
          <w:rFonts w:ascii="Calibri" w:hAnsi="Calibri"/>
        </w:rPr>
        <w:t xml:space="preserve"> en eller to priskategorier for internasjonale byråer og medier</w:t>
      </w:r>
      <w:r w:rsidRPr="00462118">
        <w:rPr>
          <w:rFonts w:ascii="Calibri" w:hAnsi="Calibri"/>
        </w:rPr>
        <w:t>. Prisene gjelder full deltagelse i alle pooloverføringer for hele perioden på 10 uker fra og med 16.04.</w:t>
      </w:r>
      <w:r w:rsidR="00CF08F5" w:rsidRPr="00462118">
        <w:rPr>
          <w:rFonts w:ascii="Calibri" w:hAnsi="Calibri"/>
        </w:rPr>
        <w:t xml:space="preserve"> </w:t>
      </w:r>
      <w:r w:rsidR="00B74FFC">
        <w:rPr>
          <w:rFonts w:ascii="Calibri" w:hAnsi="Calibri"/>
        </w:rPr>
        <w:t>Av praktiske årsaker blir det</w:t>
      </w:r>
      <w:r w:rsidR="00CF08F5" w:rsidRPr="00462118">
        <w:rPr>
          <w:rFonts w:ascii="Calibri" w:hAnsi="Calibri"/>
        </w:rPr>
        <w:t xml:space="preserve"> </w:t>
      </w:r>
      <w:r w:rsidR="00B74FFC">
        <w:rPr>
          <w:rFonts w:ascii="Calibri" w:hAnsi="Calibri"/>
        </w:rPr>
        <w:t xml:space="preserve">altså </w:t>
      </w:r>
      <w:r w:rsidR="00CF08F5" w:rsidRPr="00462118">
        <w:rPr>
          <w:rFonts w:ascii="Calibri" w:hAnsi="Calibri"/>
        </w:rPr>
        <w:t>en samlepris for alt</w:t>
      </w:r>
      <w:r w:rsidR="00B74FFC">
        <w:rPr>
          <w:rFonts w:ascii="Calibri" w:hAnsi="Calibri"/>
        </w:rPr>
        <w:t>.</w:t>
      </w:r>
    </w:p>
    <w:p w:rsidR="004562AF" w:rsidRPr="00462118" w:rsidRDefault="004562AF">
      <w:pPr>
        <w:rPr>
          <w:rFonts w:ascii="Calibri" w:hAnsi="Calibri"/>
        </w:rPr>
      </w:pPr>
    </w:p>
    <w:tbl>
      <w:tblPr>
        <w:tblW w:w="7580" w:type="dxa"/>
        <w:tblInd w:w="58" w:type="dxa"/>
        <w:tblCellMar>
          <w:left w:w="70" w:type="dxa"/>
          <w:right w:w="70" w:type="dxa"/>
        </w:tblCellMar>
        <w:tblLook w:val="04A0"/>
      </w:tblPr>
      <w:tblGrid>
        <w:gridCol w:w="2020"/>
        <w:gridCol w:w="1620"/>
        <w:gridCol w:w="2100"/>
        <w:gridCol w:w="1840"/>
      </w:tblGrid>
      <w:tr w:rsidR="00F55134" w:rsidRPr="00B74FFC" w:rsidTr="00395DE1">
        <w:trPr>
          <w:trHeight w:val="288"/>
        </w:trPr>
        <w:tc>
          <w:tcPr>
            <w:tcW w:w="20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b/>
                <w:bCs/>
                <w:sz w:val="20"/>
                <w:szCs w:val="20"/>
                <w:u w:val="single"/>
              </w:rPr>
            </w:pPr>
            <w:r w:rsidRPr="00B74FFC">
              <w:rPr>
                <w:rFonts w:ascii="Calibri" w:hAnsi="Calibri"/>
                <w:b/>
                <w:bCs/>
                <w:sz w:val="20"/>
                <w:szCs w:val="20"/>
                <w:u w:val="single"/>
              </w:rPr>
              <w:t>Poolpriser:</w:t>
            </w:r>
          </w:p>
        </w:tc>
        <w:tc>
          <w:tcPr>
            <w:tcW w:w="16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b/>
                <w:bCs/>
                <w:sz w:val="20"/>
                <w:szCs w:val="20"/>
              </w:rPr>
            </w:pPr>
          </w:p>
        </w:tc>
        <w:tc>
          <w:tcPr>
            <w:tcW w:w="210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c>
          <w:tcPr>
            <w:tcW w:w="184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r>
      <w:tr w:rsidR="00F55134" w:rsidRPr="00B74FFC" w:rsidTr="00395DE1">
        <w:trPr>
          <w:trHeight w:val="288"/>
        </w:trPr>
        <w:tc>
          <w:tcPr>
            <w:tcW w:w="20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b/>
                <w:bCs/>
                <w:sz w:val="20"/>
                <w:szCs w:val="20"/>
              </w:rPr>
            </w:pPr>
          </w:p>
        </w:tc>
        <w:tc>
          <w:tcPr>
            <w:tcW w:w="16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b/>
                <w:bCs/>
                <w:sz w:val="20"/>
                <w:szCs w:val="20"/>
              </w:rPr>
            </w:pPr>
          </w:p>
        </w:tc>
        <w:tc>
          <w:tcPr>
            <w:tcW w:w="210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c>
          <w:tcPr>
            <w:tcW w:w="184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r>
      <w:tr w:rsidR="00F55134" w:rsidRPr="00B74FFC" w:rsidTr="00395DE1">
        <w:trPr>
          <w:trHeight w:val="288"/>
        </w:trPr>
        <w:tc>
          <w:tcPr>
            <w:tcW w:w="2020" w:type="dxa"/>
            <w:tcBorders>
              <w:top w:val="nil"/>
              <w:left w:val="nil"/>
              <w:bottom w:val="nil"/>
              <w:right w:val="nil"/>
            </w:tcBorders>
            <w:shd w:val="clear" w:color="000000" w:fill="CCC0D9"/>
            <w:noWrap/>
            <w:vAlign w:val="bottom"/>
            <w:hideMark/>
          </w:tcPr>
          <w:p w:rsidR="00F55134" w:rsidRPr="00B74FFC" w:rsidRDefault="00F55134" w:rsidP="00F55134">
            <w:pPr>
              <w:rPr>
                <w:rFonts w:ascii="Calibri" w:hAnsi="Calibri"/>
                <w:b/>
                <w:bCs/>
                <w:sz w:val="20"/>
                <w:szCs w:val="20"/>
              </w:rPr>
            </w:pPr>
            <w:r w:rsidRPr="00B74FFC">
              <w:rPr>
                <w:rFonts w:ascii="Calibri" w:hAnsi="Calibri"/>
                <w:b/>
                <w:bCs/>
                <w:sz w:val="20"/>
                <w:szCs w:val="20"/>
              </w:rPr>
              <w:t>Mediekategorier:</w:t>
            </w:r>
          </w:p>
        </w:tc>
        <w:tc>
          <w:tcPr>
            <w:tcW w:w="1620" w:type="dxa"/>
            <w:tcBorders>
              <w:top w:val="nil"/>
              <w:left w:val="nil"/>
              <w:bottom w:val="nil"/>
              <w:right w:val="nil"/>
            </w:tcBorders>
            <w:shd w:val="clear" w:color="000000" w:fill="CCC0D9"/>
            <w:noWrap/>
            <w:vAlign w:val="bottom"/>
            <w:hideMark/>
          </w:tcPr>
          <w:p w:rsidR="00F55134" w:rsidRPr="00B74FFC" w:rsidRDefault="00F55134" w:rsidP="00F55134">
            <w:pPr>
              <w:rPr>
                <w:rFonts w:ascii="Calibri" w:hAnsi="Calibri"/>
                <w:b/>
                <w:bCs/>
                <w:sz w:val="20"/>
                <w:szCs w:val="20"/>
              </w:rPr>
            </w:pPr>
            <w:r w:rsidRPr="00B74FFC">
              <w:rPr>
                <w:rFonts w:ascii="Calibri" w:hAnsi="Calibri"/>
                <w:b/>
                <w:bCs/>
                <w:sz w:val="20"/>
                <w:szCs w:val="20"/>
              </w:rPr>
              <w:t xml:space="preserve"> 1. Nasjonale  </w:t>
            </w:r>
          </w:p>
        </w:tc>
        <w:tc>
          <w:tcPr>
            <w:tcW w:w="2100" w:type="dxa"/>
            <w:tcBorders>
              <w:top w:val="nil"/>
              <w:left w:val="nil"/>
              <w:bottom w:val="nil"/>
              <w:right w:val="nil"/>
            </w:tcBorders>
            <w:shd w:val="clear" w:color="000000" w:fill="CCC0D9"/>
            <w:noWrap/>
            <w:vAlign w:val="bottom"/>
            <w:hideMark/>
          </w:tcPr>
          <w:p w:rsidR="00F55134" w:rsidRPr="00B74FFC" w:rsidRDefault="00F55134" w:rsidP="00F55134">
            <w:pPr>
              <w:rPr>
                <w:rFonts w:ascii="Calibri" w:hAnsi="Calibri"/>
                <w:b/>
                <w:bCs/>
                <w:sz w:val="20"/>
                <w:szCs w:val="20"/>
              </w:rPr>
            </w:pPr>
            <w:r w:rsidRPr="00B74FFC">
              <w:rPr>
                <w:rFonts w:ascii="Calibri" w:hAnsi="Calibri"/>
                <w:b/>
                <w:bCs/>
                <w:sz w:val="20"/>
                <w:szCs w:val="20"/>
              </w:rPr>
              <w:t xml:space="preserve"> 2. Regionale </w:t>
            </w:r>
          </w:p>
        </w:tc>
        <w:tc>
          <w:tcPr>
            <w:tcW w:w="1840" w:type="dxa"/>
            <w:tcBorders>
              <w:top w:val="nil"/>
              <w:left w:val="nil"/>
              <w:bottom w:val="nil"/>
              <w:right w:val="nil"/>
            </w:tcBorders>
            <w:shd w:val="clear" w:color="000000" w:fill="CCC0D9"/>
            <w:noWrap/>
            <w:vAlign w:val="bottom"/>
            <w:hideMark/>
          </w:tcPr>
          <w:p w:rsidR="00F55134" w:rsidRPr="00B74FFC" w:rsidRDefault="00F55134" w:rsidP="00F55134">
            <w:pPr>
              <w:rPr>
                <w:rFonts w:ascii="Calibri" w:hAnsi="Calibri"/>
                <w:b/>
                <w:bCs/>
                <w:sz w:val="20"/>
                <w:szCs w:val="20"/>
              </w:rPr>
            </w:pPr>
            <w:r w:rsidRPr="00B74FFC">
              <w:rPr>
                <w:rFonts w:ascii="Calibri" w:hAnsi="Calibri"/>
                <w:b/>
                <w:bCs/>
                <w:sz w:val="20"/>
                <w:szCs w:val="20"/>
              </w:rPr>
              <w:t xml:space="preserve"> 3. Lokale </w:t>
            </w:r>
          </w:p>
        </w:tc>
      </w:tr>
      <w:tr w:rsidR="00F55134" w:rsidRPr="00B74FFC" w:rsidTr="00A303FD">
        <w:trPr>
          <w:trHeight w:val="354"/>
        </w:trPr>
        <w:tc>
          <w:tcPr>
            <w:tcW w:w="20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c>
          <w:tcPr>
            <w:tcW w:w="16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r w:rsidRPr="00B74FFC">
              <w:rPr>
                <w:rFonts w:ascii="Calibri" w:hAnsi="Calibri"/>
                <w:sz w:val="20"/>
                <w:szCs w:val="20"/>
              </w:rPr>
              <w:t xml:space="preserve"> NRK </w:t>
            </w:r>
          </w:p>
        </w:tc>
        <w:tc>
          <w:tcPr>
            <w:tcW w:w="210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r w:rsidRPr="00B74FFC">
              <w:rPr>
                <w:rFonts w:ascii="Calibri" w:hAnsi="Calibri"/>
                <w:sz w:val="20"/>
                <w:szCs w:val="20"/>
              </w:rPr>
              <w:t xml:space="preserve"> Bergens Tidende </w:t>
            </w:r>
          </w:p>
        </w:tc>
        <w:tc>
          <w:tcPr>
            <w:tcW w:w="1840" w:type="dxa"/>
            <w:tcBorders>
              <w:top w:val="nil"/>
              <w:left w:val="nil"/>
              <w:bottom w:val="nil"/>
              <w:right w:val="nil"/>
            </w:tcBorders>
            <w:shd w:val="clear" w:color="auto" w:fill="auto"/>
            <w:noWrap/>
            <w:vAlign w:val="bottom"/>
            <w:hideMark/>
          </w:tcPr>
          <w:p w:rsidR="00F55134" w:rsidRPr="00B74FFC" w:rsidRDefault="00F55134" w:rsidP="00A303FD">
            <w:pPr>
              <w:rPr>
                <w:rFonts w:ascii="Calibri" w:hAnsi="Calibri"/>
                <w:sz w:val="20"/>
                <w:szCs w:val="20"/>
              </w:rPr>
            </w:pPr>
            <w:r w:rsidRPr="00B74FFC">
              <w:rPr>
                <w:rFonts w:ascii="Calibri" w:hAnsi="Calibri"/>
                <w:sz w:val="20"/>
                <w:szCs w:val="20"/>
              </w:rPr>
              <w:t xml:space="preserve"> </w:t>
            </w:r>
            <w:r w:rsidR="00A303FD">
              <w:rPr>
                <w:rFonts w:ascii="Calibri" w:hAnsi="Calibri"/>
                <w:sz w:val="20"/>
                <w:szCs w:val="20"/>
              </w:rPr>
              <w:t>Verdalingen</w:t>
            </w:r>
          </w:p>
        </w:tc>
      </w:tr>
      <w:tr w:rsidR="00F55134" w:rsidRPr="00B74FFC" w:rsidTr="00395DE1">
        <w:trPr>
          <w:trHeight w:val="264"/>
        </w:trPr>
        <w:tc>
          <w:tcPr>
            <w:tcW w:w="20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c>
          <w:tcPr>
            <w:tcW w:w="16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r w:rsidRPr="00B74FFC">
              <w:rPr>
                <w:rFonts w:ascii="Calibri" w:hAnsi="Calibri"/>
                <w:sz w:val="20"/>
                <w:szCs w:val="20"/>
              </w:rPr>
              <w:t xml:space="preserve"> TV 2 </w:t>
            </w:r>
          </w:p>
        </w:tc>
        <w:tc>
          <w:tcPr>
            <w:tcW w:w="210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r w:rsidRPr="00B74FFC">
              <w:rPr>
                <w:rFonts w:ascii="Calibri" w:hAnsi="Calibri"/>
                <w:sz w:val="20"/>
                <w:szCs w:val="20"/>
              </w:rPr>
              <w:t xml:space="preserve"> Adresseavisa </w:t>
            </w:r>
          </w:p>
        </w:tc>
        <w:tc>
          <w:tcPr>
            <w:tcW w:w="1840" w:type="dxa"/>
            <w:tcBorders>
              <w:top w:val="nil"/>
              <w:left w:val="nil"/>
              <w:bottom w:val="nil"/>
              <w:right w:val="nil"/>
            </w:tcBorders>
            <w:shd w:val="clear" w:color="auto" w:fill="auto"/>
            <w:noWrap/>
            <w:vAlign w:val="bottom"/>
            <w:hideMark/>
          </w:tcPr>
          <w:p w:rsidR="00A303FD" w:rsidRPr="00B74FFC" w:rsidRDefault="000361C0" w:rsidP="00A303FD">
            <w:pPr>
              <w:rPr>
                <w:rFonts w:ascii="Calibri" w:hAnsi="Calibri"/>
                <w:sz w:val="20"/>
                <w:szCs w:val="20"/>
              </w:rPr>
            </w:pPr>
            <w:r>
              <w:rPr>
                <w:rFonts w:ascii="Calibri" w:hAnsi="Calibri"/>
                <w:sz w:val="20"/>
                <w:szCs w:val="20"/>
              </w:rPr>
              <w:t>Romsdals Budstikke</w:t>
            </w:r>
            <w:r w:rsidR="00A303FD">
              <w:rPr>
                <w:rFonts w:ascii="Calibri" w:hAnsi="Calibri"/>
                <w:sz w:val="20"/>
                <w:szCs w:val="20"/>
              </w:rPr>
              <w:t>.</w:t>
            </w:r>
          </w:p>
        </w:tc>
      </w:tr>
      <w:tr w:rsidR="00F55134" w:rsidRPr="00B74FFC" w:rsidTr="00395DE1">
        <w:trPr>
          <w:trHeight w:val="264"/>
        </w:trPr>
        <w:tc>
          <w:tcPr>
            <w:tcW w:w="20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c>
          <w:tcPr>
            <w:tcW w:w="16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r w:rsidRPr="00B74FFC">
              <w:rPr>
                <w:rFonts w:ascii="Calibri" w:hAnsi="Calibri"/>
                <w:sz w:val="20"/>
                <w:szCs w:val="20"/>
              </w:rPr>
              <w:t xml:space="preserve"> Aftenposten </w:t>
            </w:r>
          </w:p>
        </w:tc>
        <w:tc>
          <w:tcPr>
            <w:tcW w:w="210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r w:rsidRPr="00B74FFC">
              <w:rPr>
                <w:rFonts w:ascii="Calibri" w:hAnsi="Calibri"/>
                <w:sz w:val="20"/>
                <w:szCs w:val="20"/>
              </w:rPr>
              <w:t xml:space="preserve"> Stavanger Aftenblad </w:t>
            </w:r>
          </w:p>
        </w:tc>
        <w:tc>
          <w:tcPr>
            <w:tcW w:w="1840" w:type="dxa"/>
            <w:tcBorders>
              <w:top w:val="nil"/>
              <w:left w:val="nil"/>
              <w:bottom w:val="nil"/>
              <w:right w:val="nil"/>
            </w:tcBorders>
            <w:shd w:val="clear" w:color="auto" w:fill="auto"/>
            <w:noWrap/>
            <w:vAlign w:val="bottom"/>
            <w:hideMark/>
          </w:tcPr>
          <w:p w:rsidR="00F55134" w:rsidRPr="00B74FFC" w:rsidRDefault="000361C0" w:rsidP="00F55134">
            <w:pPr>
              <w:rPr>
                <w:rFonts w:ascii="Calibri" w:hAnsi="Calibri"/>
                <w:sz w:val="20"/>
                <w:szCs w:val="20"/>
              </w:rPr>
            </w:pPr>
            <w:r>
              <w:rPr>
                <w:rFonts w:ascii="Calibri" w:hAnsi="Calibri"/>
                <w:sz w:val="20"/>
                <w:szCs w:val="20"/>
              </w:rPr>
              <w:t>Etc.</w:t>
            </w:r>
          </w:p>
        </w:tc>
      </w:tr>
      <w:tr w:rsidR="00F55134" w:rsidRPr="00B74FFC" w:rsidTr="00395DE1">
        <w:trPr>
          <w:trHeight w:val="264"/>
        </w:trPr>
        <w:tc>
          <w:tcPr>
            <w:tcW w:w="20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c>
          <w:tcPr>
            <w:tcW w:w="16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r w:rsidRPr="00B74FFC">
              <w:rPr>
                <w:rFonts w:ascii="Calibri" w:hAnsi="Calibri"/>
                <w:sz w:val="20"/>
                <w:szCs w:val="20"/>
              </w:rPr>
              <w:t xml:space="preserve"> VG </w:t>
            </w:r>
          </w:p>
        </w:tc>
        <w:tc>
          <w:tcPr>
            <w:tcW w:w="2100" w:type="dxa"/>
            <w:tcBorders>
              <w:top w:val="nil"/>
              <w:left w:val="nil"/>
              <w:bottom w:val="nil"/>
              <w:right w:val="nil"/>
            </w:tcBorders>
            <w:shd w:val="clear" w:color="auto" w:fill="auto"/>
            <w:noWrap/>
            <w:vAlign w:val="bottom"/>
            <w:hideMark/>
          </w:tcPr>
          <w:p w:rsidR="00F55134" w:rsidRPr="00B74FFC" w:rsidRDefault="000361C0" w:rsidP="00F55134">
            <w:pPr>
              <w:rPr>
                <w:rFonts w:ascii="Calibri" w:hAnsi="Calibri"/>
                <w:sz w:val="20"/>
                <w:szCs w:val="20"/>
              </w:rPr>
            </w:pPr>
            <w:r>
              <w:rPr>
                <w:rFonts w:ascii="Calibri" w:hAnsi="Calibri"/>
                <w:sz w:val="20"/>
                <w:szCs w:val="20"/>
              </w:rPr>
              <w:t xml:space="preserve">Fevennen </w:t>
            </w:r>
            <w:r w:rsidR="00A303FD">
              <w:rPr>
                <w:rFonts w:ascii="Calibri" w:hAnsi="Calibri"/>
                <w:sz w:val="20"/>
                <w:szCs w:val="20"/>
              </w:rPr>
              <w:t xml:space="preserve"> </w:t>
            </w:r>
            <w:r w:rsidR="00F55134" w:rsidRPr="00B74FFC">
              <w:rPr>
                <w:rFonts w:ascii="Calibri" w:hAnsi="Calibri"/>
                <w:sz w:val="20"/>
                <w:szCs w:val="20"/>
              </w:rPr>
              <w:t xml:space="preserve"> </w:t>
            </w:r>
          </w:p>
        </w:tc>
        <w:tc>
          <w:tcPr>
            <w:tcW w:w="184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r>
      <w:tr w:rsidR="00F55134" w:rsidRPr="00B74FFC" w:rsidTr="00395DE1">
        <w:trPr>
          <w:trHeight w:val="264"/>
        </w:trPr>
        <w:tc>
          <w:tcPr>
            <w:tcW w:w="20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c>
          <w:tcPr>
            <w:tcW w:w="16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r w:rsidRPr="00B74FFC">
              <w:rPr>
                <w:rFonts w:ascii="Calibri" w:hAnsi="Calibri"/>
                <w:sz w:val="20"/>
                <w:szCs w:val="20"/>
              </w:rPr>
              <w:t xml:space="preserve"> Dagbladet </w:t>
            </w:r>
          </w:p>
        </w:tc>
        <w:tc>
          <w:tcPr>
            <w:tcW w:w="2100" w:type="dxa"/>
            <w:tcBorders>
              <w:top w:val="nil"/>
              <w:left w:val="nil"/>
              <w:bottom w:val="nil"/>
              <w:right w:val="nil"/>
            </w:tcBorders>
            <w:shd w:val="clear" w:color="auto" w:fill="auto"/>
            <w:noWrap/>
            <w:vAlign w:val="bottom"/>
            <w:hideMark/>
          </w:tcPr>
          <w:p w:rsidR="00F55134" w:rsidRPr="00B74FFC" w:rsidRDefault="000361C0" w:rsidP="00F55134">
            <w:pPr>
              <w:rPr>
                <w:rFonts w:ascii="Calibri" w:hAnsi="Calibri"/>
                <w:sz w:val="20"/>
                <w:szCs w:val="20"/>
              </w:rPr>
            </w:pPr>
            <w:r>
              <w:rPr>
                <w:rFonts w:ascii="Calibri" w:hAnsi="Calibri"/>
                <w:sz w:val="20"/>
                <w:szCs w:val="20"/>
              </w:rPr>
              <w:t xml:space="preserve">Etc. </w:t>
            </w:r>
          </w:p>
        </w:tc>
        <w:tc>
          <w:tcPr>
            <w:tcW w:w="184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r>
      <w:tr w:rsidR="00F55134" w:rsidRPr="00B74FFC" w:rsidTr="00395DE1">
        <w:trPr>
          <w:trHeight w:val="264"/>
        </w:trPr>
        <w:tc>
          <w:tcPr>
            <w:tcW w:w="20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c>
          <w:tcPr>
            <w:tcW w:w="16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c>
          <w:tcPr>
            <w:tcW w:w="210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c>
          <w:tcPr>
            <w:tcW w:w="184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sz w:val="20"/>
                <w:szCs w:val="20"/>
              </w:rPr>
            </w:pPr>
          </w:p>
        </w:tc>
      </w:tr>
      <w:tr w:rsidR="00F55134" w:rsidRPr="00B74FFC" w:rsidTr="00395DE1">
        <w:trPr>
          <w:trHeight w:val="288"/>
        </w:trPr>
        <w:tc>
          <w:tcPr>
            <w:tcW w:w="20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b/>
                <w:bCs/>
                <w:sz w:val="20"/>
                <w:szCs w:val="20"/>
              </w:rPr>
            </w:pPr>
            <w:r w:rsidRPr="00B74FFC">
              <w:rPr>
                <w:rFonts w:ascii="Calibri" w:hAnsi="Calibri"/>
                <w:b/>
                <w:bCs/>
                <w:sz w:val="20"/>
                <w:szCs w:val="20"/>
              </w:rPr>
              <w:t>Deltagerpris, NOK</w:t>
            </w:r>
            <w:r w:rsidR="0086031A">
              <w:rPr>
                <w:rFonts w:ascii="Calibri" w:hAnsi="Calibri"/>
                <w:b/>
                <w:bCs/>
                <w:sz w:val="20"/>
                <w:szCs w:val="20"/>
              </w:rPr>
              <w:t xml:space="preserve"> eks mva</w:t>
            </w:r>
          </w:p>
        </w:tc>
        <w:tc>
          <w:tcPr>
            <w:tcW w:w="162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b/>
                <w:bCs/>
                <w:sz w:val="20"/>
                <w:szCs w:val="20"/>
              </w:rPr>
            </w:pPr>
            <w:r w:rsidRPr="00B74FFC">
              <w:rPr>
                <w:rFonts w:ascii="Calibri" w:hAnsi="Calibri"/>
                <w:b/>
                <w:bCs/>
                <w:sz w:val="20"/>
                <w:szCs w:val="20"/>
              </w:rPr>
              <w:t xml:space="preserve">            60 000 </w:t>
            </w:r>
          </w:p>
        </w:tc>
        <w:tc>
          <w:tcPr>
            <w:tcW w:w="210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b/>
                <w:bCs/>
                <w:sz w:val="20"/>
                <w:szCs w:val="20"/>
              </w:rPr>
            </w:pPr>
            <w:r w:rsidRPr="00B74FFC">
              <w:rPr>
                <w:rFonts w:ascii="Calibri" w:hAnsi="Calibri"/>
                <w:b/>
                <w:bCs/>
                <w:sz w:val="20"/>
                <w:szCs w:val="20"/>
              </w:rPr>
              <w:t xml:space="preserve">                    30 000 </w:t>
            </w:r>
          </w:p>
        </w:tc>
        <w:tc>
          <w:tcPr>
            <w:tcW w:w="1840" w:type="dxa"/>
            <w:tcBorders>
              <w:top w:val="nil"/>
              <w:left w:val="nil"/>
              <w:bottom w:val="nil"/>
              <w:right w:val="nil"/>
            </w:tcBorders>
            <w:shd w:val="clear" w:color="auto" w:fill="auto"/>
            <w:noWrap/>
            <w:vAlign w:val="bottom"/>
            <w:hideMark/>
          </w:tcPr>
          <w:p w:rsidR="00F55134" w:rsidRPr="00B74FFC" w:rsidRDefault="00F55134" w:rsidP="00F55134">
            <w:pPr>
              <w:rPr>
                <w:rFonts w:ascii="Calibri" w:hAnsi="Calibri"/>
                <w:b/>
                <w:bCs/>
                <w:sz w:val="20"/>
                <w:szCs w:val="20"/>
              </w:rPr>
            </w:pPr>
            <w:r w:rsidRPr="00B74FFC">
              <w:rPr>
                <w:rFonts w:ascii="Calibri" w:hAnsi="Calibri"/>
                <w:b/>
                <w:bCs/>
                <w:sz w:val="20"/>
                <w:szCs w:val="20"/>
              </w:rPr>
              <w:t xml:space="preserve">                15 000 </w:t>
            </w:r>
          </w:p>
        </w:tc>
      </w:tr>
    </w:tbl>
    <w:p w:rsidR="004562AF" w:rsidRDefault="004562AF">
      <w:pPr>
        <w:rPr>
          <w:rFonts w:ascii="Calibri" w:hAnsi="Calibri"/>
        </w:rPr>
      </w:pPr>
    </w:p>
    <w:p w:rsidR="00F55134" w:rsidRPr="00E631E5" w:rsidRDefault="00F55134">
      <w:pPr>
        <w:rPr>
          <w:rFonts w:ascii="Calibri" w:hAnsi="Calibri" w:cs="Calibri"/>
        </w:rPr>
      </w:pPr>
    </w:p>
    <w:p w:rsidR="00F55134" w:rsidRPr="00E631E5" w:rsidRDefault="00F55134">
      <w:pPr>
        <w:rPr>
          <w:rFonts w:ascii="Calibri" w:hAnsi="Calibri" w:cs="Calibri"/>
          <w:b/>
        </w:rPr>
      </w:pPr>
      <w:r w:rsidRPr="00E631E5">
        <w:rPr>
          <w:rFonts w:ascii="Calibri" w:hAnsi="Calibri" w:cs="Calibri"/>
          <w:b/>
        </w:rPr>
        <w:t xml:space="preserve">NRKs kontaktperson for påmelding </w:t>
      </w:r>
      <w:r w:rsidR="00462118" w:rsidRPr="00E631E5">
        <w:rPr>
          <w:rFonts w:ascii="Calibri" w:hAnsi="Calibri" w:cs="Calibri"/>
          <w:b/>
        </w:rPr>
        <w:t xml:space="preserve">fra Norge </w:t>
      </w:r>
      <w:r w:rsidRPr="00E631E5">
        <w:rPr>
          <w:rFonts w:ascii="Calibri" w:hAnsi="Calibri" w:cs="Calibri"/>
          <w:b/>
        </w:rPr>
        <w:t>er:</w:t>
      </w:r>
    </w:p>
    <w:p w:rsidR="00F55134" w:rsidRPr="00E631E5" w:rsidRDefault="00F55134">
      <w:pPr>
        <w:rPr>
          <w:rFonts w:ascii="Calibri" w:hAnsi="Calibri" w:cs="Calibri"/>
        </w:rPr>
      </w:pPr>
      <w:r w:rsidRPr="00E631E5">
        <w:rPr>
          <w:rFonts w:ascii="Calibri" w:hAnsi="Calibri" w:cs="Calibri"/>
        </w:rPr>
        <w:lastRenderedPageBreak/>
        <w:t xml:space="preserve">Gro Skjensvold, </w:t>
      </w:r>
      <w:hyperlink r:id="rId4" w:history="1">
        <w:r w:rsidRPr="00E631E5">
          <w:rPr>
            <w:rStyle w:val="Hyperkobling"/>
            <w:rFonts w:ascii="Calibri" w:hAnsi="Calibri" w:cs="Calibri"/>
            <w:color w:val="auto"/>
          </w:rPr>
          <w:t>gro.skjensvold@nrk.no</w:t>
        </w:r>
      </w:hyperlink>
      <w:r w:rsidRPr="00E631E5">
        <w:rPr>
          <w:rFonts w:ascii="Calibri" w:hAnsi="Calibri" w:cs="Calibri"/>
        </w:rPr>
        <w:t xml:space="preserve"> Telefon: </w:t>
      </w:r>
      <w:r w:rsidR="00CF08F5" w:rsidRPr="00E631E5">
        <w:rPr>
          <w:rFonts w:ascii="Calibri" w:hAnsi="Calibri" w:cs="Calibri"/>
        </w:rPr>
        <w:t>9572</w:t>
      </w:r>
      <w:r w:rsidR="00462118" w:rsidRPr="00E631E5">
        <w:rPr>
          <w:rFonts w:ascii="Calibri" w:hAnsi="Calibri" w:cs="Calibri"/>
        </w:rPr>
        <w:t xml:space="preserve"> </w:t>
      </w:r>
      <w:r w:rsidR="00CF08F5" w:rsidRPr="00E631E5">
        <w:rPr>
          <w:rFonts w:ascii="Calibri" w:hAnsi="Calibri" w:cs="Calibri"/>
        </w:rPr>
        <w:t>0870</w:t>
      </w:r>
    </w:p>
    <w:p w:rsidR="00395DE1" w:rsidRPr="00E631E5" w:rsidRDefault="00395DE1">
      <w:pPr>
        <w:rPr>
          <w:rFonts w:ascii="Calibri" w:hAnsi="Calibri" w:cs="Calibri"/>
        </w:rPr>
      </w:pPr>
    </w:p>
    <w:p w:rsidR="00462118" w:rsidRPr="00E631E5" w:rsidRDefault="00462118">
      <w:pPr>
        <w:rPr>
          <w:rFonts w:ascii="Calibri" w:hAnsi="Calibri" w:cs="Calibri"/>
        </w:rPr>
      </w:pPr>
      <w:r w:rsidRPr="00E631E5">
        <w:rPr>
          <w:rFonts w:ascii="Calibri" w:hAnsi="Calibri" w:cs="Calibri"/>
        </w:rPr>
        <w:t xml:space="preserve">(Internasjonale henvendelser: Marit Moi, </w:t>
      </w:r>
      <w:hyperlink r:id="rId5" w:history="1">
        <w:r w:rsidRPr="00E631E5">
          <w:rPr>
            <w:rStyle w:val="Hyperkobling"/>
            <w:rFonts w:ascii="Calibri" w:hAnsi="Calibri" w:cs="Calibri"/>
            <w:color w:val="auto"/>
          </w:rPr>
          <w:t>marit.moi@nrk.no</w:t>
        </w:r>
      </w:hyperlink>
      <w:r w:rsidRPr="00E631E5">
        <w:rPr>
          <w:rFonts w:ascii="Calibri" w:hAnsi="Calibri" w:cs="Calibri"/>
        </w:rPr>
        <w:t xml:space="preserve"> Telefon: +47 959 37</w:t>
      </w:r>
      <w:r w:rsidR="00E16CE4" w:rsidRPr="00E631E5">
        <w:rPr>
          <w:rFonts w:ascii="Calibri" w:hAnsi="Calibri" w:cs="Calibri"/>
        </w:rPr>
        <w:t> </w:t>
      </w:r>
      <w:r w:rsidRPr="00E631E5">
        <w:rPr>
          <w:rFonts w:ascii="Calibri" w:hAnsi="Calibri" w:cs="Calibri"/>
        </w:rPr>
        <w:t>347)</w:t>
      </w:r>
    </w:p>
    <w:p w:rsidR="00E16CE4" w:rsidRPr="00E631E5" w:rsidRDefault="00E16CE4">
      <w:pPr>
        <w:rPr>
          <w:rFonts w:ascii="Calibri" w:hAnsi="Calibri" w:cs="Calibri"/>
        </w:rPr>
      </w:pPr>
    </w:p>
    <w:p w:rsidR="00E16CE4" w:rsidRPr="00E631E5" w:rsidRDefault="00E16CE4">
      <w:pPr>
        <w:rPr>
          <w:rFonts w:ascii="Calibri" w:hAnsi="Calibri" w:cs="Calibri"/>
          <w:b/>
        </w:rPr>
      </w:pPr>
      <w:r w:rsidRPr="00E631E5">
        <w:rPr>
          <w:rFonts w:ascii="Calibri" w:hAnsi="Calibri" w:cs="Calibri"/>
          <w:b/>
        </w:rPr>
        <w:t xml:space="preserve">Frist for påmelding til pool-signalet er </w:t>
      </w:r>
      <w:r w:rsidR="007E3EFA" w:rsidRPr="00E631E5">
        <w:rPr>
          <w:rFonts w:ascii="Calibri" w:hAnsi="Calibri" w:cs="Calibri"/>
          <w:b/>
        </w:rPr>
        <w:t>1</w:t>
      </w:r>
      <w:r w:rsidR="0086031A">
        <w:rPr>
          <w:rFonts w:ascii="Calibri" w:hAnsi="Calibri" w:cs="Calibri"/>
          <w:b/>
        </w:rPr>
        <w:t>0</w:t>
      </w:r>
      <w:r w:rsidR="007E3EFA" w:rsidRPr="00E631E5">
        <w:rPr>
          <w:rFonts w:ascii="Calibri" w:hAnsi="Calibri" w:cs="Calibri"/>
          <w:b/>
        </w:rPr>
        <w:t>. april 2012.</w:t>
      </w:r>
    </w:p>
    <w:p w:rsidR="00F55134" w:rsidRPr="00E631E5" w:rsidRDefault="00F55134">
      <w:pPr>
        <w:rPr>
          <w:rFonts w:ascii="Calibri" w:hAnsi="Calibri" w:cs="Calibri"/>
        </w:rPr>
      </w:pPr>
    </w:p>
    <w:p w:rsidR="00F55134" w:rsidRPr="00E631E5" w:rsidRDefault="00B8263F">
      <w:pPr>
        <w:rPr>
          <w:rFonts w:ascii="Calibri" w:hAnsi="Calibri" w:cs="Calibri"/>
          <w:b/>
        </w:rPr>
      </w:pPr>
      <w:r w:rsidRPr="00E631E5">
        <w:rPr>
          <w:rFonts w:ascii="Calibri" w:hAnsi="Calibri" w:cs="Calibri"/>
          <w:b/>
        </w:rPr>
        <w:t xml:space="preserve">Tilgang og </w:t>
      </w:r>
      <w:r w:rsidR="00F55134" w:rsidRPr="00E631E5">
        <w:rPr>
          <w:rFonts w:ascii="Calibri" w:hAnsi="Calibri" w:cs="Calibri"/>
          <w:b/>
        </w:rPr>
        <w:t>tekniske detaljer</w:t>
      </w:r>
      <w:r w:rsidR="00462118" w:rsidRPr="00E631E5">
        <w:rPr>
          <w:rFonts w:ascii="Calibri" w:hAnsi="Calibri" w:cs="Calibri"/>
          <w:b/>
        </w:rPr>
        <w:t>:</w:t>
      </w:r>
    </w:p>
    <w:p w:rsidR="00462118" w:rsidRPr="00E631E5" w:rsidRDefault="000361C0" w:rsidP="00462118">
      <w:pPr>
        <w:shd w:val="clear" w:color="auto" w:fill="F5F5F5"/>
        <w:textAlignment w:val="top"/>
        <w:rPr>
          <w:rFonts w:ascii="Calibri" w:hAnsi="Calibri" w:cs="Calibri"/>
        </w:rPr>
      </w:pPr>
      <w:r w:rsidRPr="00E631E5">
        <w:rPr>
          <w:rFonts w:ascii="Calibri" w:hAnsi="Calibri" w:cs="Calibri"/>
        </w:rPr>
        <w:t>P</w:t>
      </w:r>
      <w:r w:rsidR="00462118" w:rsidRPr="00E631E5">
        <w:rPr>
          <w:rFonts w:ascii="Calibri" w:hAnsi="Calibri" w:cs="Calibri"/>
        </w:rPr>
        <w:t>ooldeltagerne</w:t>
      </w:r>
      <w:r w:rsidRPr="00E631E5">
        <w:rPr>
          <w:rFonts w:ascii="Calibri" w:hAnsi="Calibri" w:cs="Calibri"/>
        </w:rPr>
        <w:t xml:space="preserve"> får</w:t>
      </w:r>
      <w:r w:rsidR="00462118" w:rsidRPr="00E631E5">
        <w:rPr>
          <w:rFonts w:ascii="Calibri" w:hAnsi="Calibri" w:cs="Calibri"/>
        </w:rPr>
        <w:t xml:space="preserve"> tilgang til TV- signalet </w:t>
      </w:r>
      <w:r w:rsidRPr="00E631E5">
        <w:rPr>
          <w:rFonts w:ascii="Calibri" w:hAnsi="Calibri" w:cs="Calibri"/>
        </w:rPr>
        <w:t>i</w:t>
      </w:r>
      <w:r w:rsidR="00462118" w:rsidRPr="00E631E5">
        <w:rPr>
          <w:rFonts w:ascii="Calibri" w:hAnsi="Calibri" w:cs="Calibri"/>
        </w:rPr>
        <w:t xml:space="preserve"> Oslo Tinghus </w:t>
      </w:r>
      <w:r w:rsidR="00FE75D4" w:rsidRPr="00E631E5">
        <w:rPr>
          <w:rFonts w:ascii="Calibri" w:hAnsi="Calibri" w:cs="Calibri"/>
        </w:rPr>
        <w:t>eller</w:t>
      </w:r>
      <w:r w:rsidR="00462118" w:rsidRPr="00E631E5">
        <w:rPr>
          <w:rFonts w:ascii="Calibri" w:hAnsi="Calibri" w:cs="Calibri"/>
        </w:rPr>
        <w:t xml:space="preserve"> tilgang til </w:t>
      </w:r>
      <w:r w:rsidR="00FE75D4" w:rsidRPr="00E631E5">
        <w:rPr>
          <w:rFonts w:ascii="Calibri" w:hAnsi="Calibri" w:cs="Calibri"/>
        </w:rPr>
        <w:t xml:space="preserve">aksesspunkt </w:t>
      </w:r>
      <w:r w:rsidR="00462118" w:rsidRPr="00E631E5">
        <w:rPr>
          <w:rFonts w:ascii="Calibri" w:hAnsi="Calibri" w:cs="Calibri"/>
        </w:rPr>
        <w:t>for live web streaming.</w:t>
      </w:r>
    </w:p>
    <w:p w:rsidR="00E16CE4" w:rsidRPr="00E631E5" w:rsidRDefault="00462118" w:rsidP="00E16CE4">
      <w:pPr>
        <w:shd w:val="clear" w:color="auto" w:fill="F5F5F5"/>
        <w:textAlignment w:val="top"/>
        <w:rPr>
          <w:rFonts w:ascii="Calibri" w:hAnsi="Calibri" w:cs="Calibri"/>
        </w:rPr>
      </w:pPr>
      <w:r w:rsidRPr="00E631E5">
        <w:rPr>
          <w:rFonts w:ascii="Calibri" w:hAnsi="Calibri" w:cs="Calibri"/>
        </w:rPr>
        <w:br/>
        <w:t xml:space="preserve">Hele operasjonen vil være i HD/SDI, men SD/SDI vil være tilgjengelig for lokal distribusjon. </w:t>
      </w:r>
      <w:r w:rsidR="00FE75D4" w:rsidRPr="00E631E5">
        <w:rPr>
          <w:rFonts w:ascii="Calibri" w:hAnsi="Calibri" w:cs="Calibri"/>
        </w:rPr>
        <w:t>TV-d</w:t>
      </w:r>
      <w:r w:rsidRPr="00E631E5">
        <w:rPr>
          <w:rFonts w:ascii="Calibri" w:hAnsi="Calibri" w:cs="Calibri"/>
        </w:rPr>
        <w:t>istribusjon vil være fra et punkt i  Tinghuset kalt "Vinkelrommet" og ved SNG parkering på Tullinløkka. Vinkelrommet har tilgang fra bakkeplan. Rettighetshavere må selv koble seg til disse stedene. HD/SDI er kun tilgjengelig i vinkelrommet.</w:t>
      </w:r>
    </w:p>
    <w:p w:rsidR="00462118" w:rsidRPr="00E631E5" w:rsidRDefault="00462118" w:rsidP="00E16CE4">
      <w:pPr>
        <w:shd w:val="clear" w:color="auto" w:fill="F5F5F5"/>
        <w:textAlignment w:val="top"/>
        <w:rPr>
          <w:rFonts w:ascii="Calibri" w:hAnsi="Calibri" w:cs="Calibri"/>
        </w:rPr>
      </w:pPr>
      <w:r w:rsidRPr="00E631E5">
        <w:rPr>
          <w:rFonts w:ascii="Calibri" w:hAnsi="Calibri" w:cs="Calibri"/>
        </w:rPr>
        <w:br/>
        <w:t>HD signal format: SMPTE292M, HDTV standard 1080i/50.</w:t>
      </w:r>
      <w:r w:rsidRPr="00E631E5">
        <w:rPr>
          <w:rFonts w:ascii="Calibri" w:hAnsi="Calibri" w:cs="Calibri"/>
        </w:rPr>
        <w:br/>
        <w:t>Aspect ratio: 16:9</w:t>
      </w:r>
      <w:r w:rsidRPr="00E631E5">
        <w:rPr>
          <w:rFonts w:ascii="Calibri" w:hAnsi="Calibri" w:cs="Calibri"/>
        </w:rPr>
        <w:br/>
        <w:t>Audio signal: Embedded mono internasjonal lyd på kanal 1, embedded mono engelsk guide lyd på kanal 2</w:t>
      </w:r>
      <w:r w:rsidRPr="00E631E5">
        <w:rPr>
          <w:rFonts w:ascii="Calibri" w:hAnsi="Calibri" w:cs="Calibri"/>
        </w:rPr>
        <w:br/>
      </w:r>
      <w:r w:rsidRPr="00E631E5">
        <w:rPr>
          <w:rFonts w:ascii="Calibri" w:hAnsi="Calibri" w:cs="Calibri"/>
        </w:rPr>
        <w:br/>
        <w:t>SD signal format: SDTV standard 625i/50</w:t>
      </w:r>
      <w:r w:rsidRPr="00E631E5">
        <w:rPr>
          <w:rFonts w:ascii="Calibri" w:hAnsi="Calibri" w:cs="Calibri"/>
        </w:rPr>
        <w:br/>
        <w:t>Aspect ratio: 16:9</w:t>
      </w:r>
      <w:r w:rsidRPr="00E631E5">
        <w:rPr>
          <w:rFonts w:ascii="Calibri" w:hAnsi="Calibri" w:cs="Calibri"/>
        </w:rPr>
        <w:br/>
        <w:t>Audio signal: Embedded mono internasjonal lyd på kanal 1, embedded mono engelsk guide lyd på kanal 2</w:t>
      </w:r>
    </w:p>
    <w:p w:rsidR="00B014B4" w:rsidRPr="00E631E5" w:rsidRDefault="00B014B4">
      <w:pPr>
        <w:rPr>
          <w:rFonts w:ascii="Calibri" w:hAnsi="Calibri" w:cs="Calibri"/>
        </w:rPr>
      </w:pPr>
    </w:p>
    <w:p w:rsidR="00E16CE4" w:rsidRPr="00E631E5" w:rsidRDefault="00E16CE4" w:rsidP="00E16CE4">
      <w:pPr>
        <w:rPr>
          <w:rFonts w:ascii="Calibri" w:hAnsi="Calibri" w:cs="Calibri"/>
        </w:rPr>
      </w:pPr>
      <w:r w:rsidRPr="00E631E5">
        <w:rPr>
          <w:rFonts w:ascii="Calibri" w:hAnsi="Calibri" w:cs="Calibri"/>
        </w:rPr>
        <w:t xml:space="preserve">En livestream med to H.264 profiler vil også være tilgjengelig for web formål.  En høykvalitet som er beregnet på å kunne bearbeides og en lavere kvalitet på ca 1,5 Mbit for direkte redistribusjon. Distribusjon skjer via Akamai, hvor det vil bli opprettet aksesspunkt. Dette punktet vil bli sikret med aksesskontroll slik at kun deltagere i poolen får tilgang. </w:t>
      </w:r>
    </w:p>
    <w:p w:rsidR="00E16CE4" w:rsidRPr="00E16CE4" w:rsidRDefault="00E16CE4">
      <w:pPr>
        <w:rPr>
          <w:rFonts w:ascii="Calibri" w:hAnsi="Calibri"/>
        </w:rPr>
      </w:pPr>
    </w:p>
    <w:sectPr w:rsidR="00E16CE4" w:rsidRPr="00E16CE4" w:rsidSect="00362C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noPunctuationKerning/>
  <w:characterSpacingControl w:val="doNotCompress"/>
  <w:compat/>
  <w:rsids>
    <w:rsidRoot w:val="007C7D73"/>
    <w:rsid w:val="000361C0"/>
    <w:rsid w:val="000855F9"/>
    <w:rsid w:val="000E5F5A"/>
    <w:rsid w:val="001E3CD2"/>
    <w:rsid w:val="00362CE6"/>
    <w:rsid w:val="0037448F"/>
    <w:rsid w:val="00395DE1"/>
    <w:rsid w:val="004562AF"/>
    <w:rsid w:val="00462118"/>
    <w:rsid w:val="0048290F"/>
    <w:rsid w:val="00564192"/>
    <w:rsid w:val="006D70B1"/>
    <w:rsid w:val="00767016"/>
    <w:rsid w:val="007C7D73"/>
    <w:rsid w:val="007E3EFA"/>
    <w:rsid w:val="0086031A"/>
    <w:rsid w:val="009729CA"/>
    <w:rsid w:val="009B0382"/>
    <w:rsid w:val="00A303FD"/>
    <w:rsid w:val="00A41FA2"/>
    <w:rsid w:val="00B014B4"/>
    <w:rsid w:val="00B74FFC"/>
    <w:rsid w:val="00B8263F"/>
    <w:rsid w:val="00BD6BC2"/>
    <w:rsid w:val="00CF08F5"/>
    <w:rsid w:val="00E16CE4"/>
    <w:rsid w:val="00E631E5"/>
    <w:rsid w:val="00EE413F"/>
    <w:rsid w:val="00F55134"/>
    <w:rsid w:val="00FE75D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CE6"/>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iPriority w:val="99"/>
    <w:unhideWhenUsed/>
    <w:rsid w:val="00F55134"/>
    <w:rPr>
      <w:color w:val="0000FF"/>
      <w:u w:val="single"/>
    </w:rPr>
  </w:style>
</w:styles>
</file>

<file path=word/webSettings.xml><?xml version="1.0" encoding="utf-8"?>
<w:webSettings xmlns:r="http://schemas.openxmlformats.org/officeDocument/2006/relationships" xmlns:w="http://schemas.openxmlformats.org/wordprocessingml/2006/main">
  <w:divs>
    <w:div w:id="160003574">
      <w:bodyDiv w:val="1"/>
      <w:marLeft w:val="0"/>
      <w:marRight w:val="0"/>
      <w:marTop w:val="0"/>
      <w:marBottom w:val="0"/>
      <w:divBdr>
        <w:top w:val="none" w:sz="0" w:space="0" w:color="auto"/>
        <w:left w:val="none" w:sz="0" w:space="0" w:color="auto"/>
        <w:bottom w:val="none" w:sz="0" w:space="0" w:color="auto"/>
        <w:right w:val="none" w:sz="0" w:space="0" w:color="auto"/>
      </w:divBdr>
    </w:div>
    <w:div w:id="166602922">
      <w:bodyDiv w:val="1"/>
      <w:marLeft w:val="0"/>
      <w:marRight w:val="0"/>
      <w:marTop w:val="0"/>
      <w:marBottom w:val="0"/>
      <w:divBdr>
        <w:top w:val="none" w:sz="0" w:space="0" w:color="auto"/>
        <w:left w:val="none" w:sz="0" w:space="0" w:color="auto"/>
        <w:bottom w:val="none" w:sz="0" w:space="0" w:color="auto"/>
        <w:right w:val="none" w:sz="0" w:space="0" w:color="auto"/>
      </w:divBdr>
    </w:div>
    <w:div w:id="279528618">
      <w:bodyDiv w:val="1"/>
      <w:marLeft w:val="0"/>
      <w:marRight w:val="0"/>
      <w:marTop w:val="0"/>
      <w:marBottom w:val="0"/>
      <w:divBdr>
        <w:top w:val="none" w:sz="0" w:space="0" w:color="auto"/>
        <w:left w:val="none" w:sz="0" w:space="0" w:color="auto"/>
        <w:bottom w:val="none" w:sz="0" w:space="0" w:color="auto"/>
        <w:right w:val="none" w:sz="0" w:space="0" w:color="auto"/>
      </w:divBdr>
    </w:div>
    <w:div w:id="538594980">
      <w:bodyDiv w:val="1"/>
      <w:marLeft w:val="0"/>
      <w:marRight w:val="0"/>
      <w:marTop w:val="0"/>
      <w:marBottom w:val="0"/>
      <w:divBdr>
        <w:top w:val="none" w:sz="0" w:space="0" w:color="auto"/>
        <w:left w:val="none" w:sz="0" w:space="0" w:color="auto"/>
        <w:bottom w:val="none" w:sz="0" w:space="0" w:color="auto"/>
        <w:right w:val="none" w:sz="0" w:space="0" w:color="auto"/>
      </w:divBdr>
    </w:div>
    <w:div w:id="568922151">
      <w:bodyDiv w:val="1"/>
      <w:marLeft w:val="0"/>
      <w:marRight w:val="0"/>
      <w:marTop w:val="0"/>
      <w:marBottom w:val="0"/>
      <w:divBdr>
        <w:top w:val="none" w:sz="0" w:space="0" w:color="auto"/>
        <w:left w:val="none" w:sz="0" w:space="0" w:color="auto"/>
        <w:bottom w:val="none" w:sz="0" w:space="0" w:color="auto"/>
        <w:right w:val="none" w:sz="0" w:space="0" w:color="auto"/>
      </w:divBdr>
    </w:div>
    <w:div w:id="868950850">
      <w:bodyDiv w:val="1"/>
      <w:marLeft w:val="0"/>
      <w:marRight w:val="0"/>
      <w:marTop w:val="0"/>
      <w:marBottom w:val="0"/>
      <w:divBdr>
        <w:top w:val="none" w:sz="0" w:space="0" w:color="auto"/>
        <w:left w:val="none" w:sz="0" w:space="0" w:color="auto"/>
        <w:bottom w:val="none" w:sz="0" w:space="0" w:color="auto"/>
        <w:right w:val="none" w:sz="0" w:space="0" w:color="auto"/>
      </w:divBdr>
    </w:div>
    <w:div w:id="1022786158">
      <w:bodyDiv w:val="1"/>
      <w:marLeft w:val="0"/>
      <w:marRight w:val="0"/>
      <w:marTop w:val="0"/>
      <w:marBottom w:val="0"/>
      <w:divBdr>
        <w:top w:val="none" w:sz="0" w:space="0" w:color="auto"/>
        <w:left w:val="none" w:sz="0" w:space="0" w:color="auto"/>
        <w:bottom w:val="none" w:sz="0" w:space="0" w:color="auto"/>
        <w:right w:val="none" w:sz="0" w:space="0" w:color="auto"/>
      </w:divBdr>
    </w:div>
    <w:div w:id="1112867022">
      <w:bodyDiv w:val="1"/>
      <w:marLeft w:val="0"/>
      <w:marRight w:val="0"/>
      <w:marTop w:val="0"/>
      <w:marBottom w:val="0"/>
      <w:divBdr>
        <w:top w:val="none" w:sz="0" w:space="0" w:color="auto"/>
        <w:left w:val="none" w:sz="0" w:space="0" w:color="auto"/>
        <w:bottom w:val="none" w:sz="0" w:space="0" w:color="auto"/>
        <w:right w:val="none" w:sz="0" w:space="0" w:color="auto"/>
      </w:divBdr>
    </w:div>
    <w:div w:id="18076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t.moi@nrk.no" TargetMode="External"/><Relationship Id="rId4" Type="http://schemas.openxmlformats.org/officeDocument/2006/relationships/hyperlink" Target="mailto:gro.skjensvold@nrk.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3325</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NRK</Company>
  <LinksUpToDate>false</LinksUpToDate>
  <CharactersWithSpaces>3945</CharactersWithSpaces>
  <SharedDoc>false</SharedDoc>
  <HLinks>
    <vt:vector size="12" baseType="variant">
      <vt:variant>
        <vt:i4>6684703</vt:i4>
      </vt:variant>
      <vt:variant>
        <vt:i4>3</vt:i4>
      </vt:variant>
      <vt:variant>
        <vt:i4>0</vt:i4>
      </vt:variant>
      <vt:variant>
        <vt:i4>5</vt:i4>
      </vt:variant>
      <vt:variant>
        <vt:lpwstr>mailto:marit.moi@nrk.no</vt:lpwstr>
      </vt:variant>
      <vt:variant>
        <vt:lpwstr/>
      </vt:variant>
      <vt:variant>
        <vt:i4>7602187</vt:i4>
      </vt:variant>
      <vt:variant>
        <vt:i4>0</vt:i4>
      </vt:variant>
      <vt:variant>
        <vt:i4>0</vt:i4>
      </vt:variant>
      <vt:variant>
        <vt:i4>5</vt:i4>
      </vt:variant>
      <vt:variant>
        <vt:lpwstr>mailto:gro.skjensvold@nrk.no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n10720</dc:creator>
  <cp:lastModifiedBy>arne</cp:lastModifiedBy>
  <cp:revision>2</cp:revision>
  <dcterms:created xsi:type="dcterms:W3CDTF">2012-03-29T12:26:00Z</dcterms:created>
  <dcterms:modified xsi:type="dcterms:W3CDTF">2012-03-29T12:26:00Z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-533592492</vt:i4>
  </property>
  <property fmtid="{D5CDD505-2E9C-101B-9397-08002B2CF9AE}" pid="3" name="_NewReviewCycle">
    <vt:lpwstr/>
  </property>
  <property fmtid="{D5CDD505-2E9C-101B-9397-08002B2CF9AE}" pid="4" name="_EmailSubject">
    <vt:lpwstr>22. juli rettssaken - Informasjon om TV og nett-TV pool og priser</vt:lpwstr>
  </property>
  <property fmtid="{D5CDD505-2E9C-101B-9397-08002B2CF9AE}" pid="5" name="_AuthorEmail">
    <vt:lpwstr>jan.georg.vedeler@nrk.no</vt:lpwstr>
  </property>
  <property fmtid="{D5CDD505-2E9C-101B-9397-08002B2CF9AE}" pid="6" name="_AuthorEmailDisplayName">
    <vt:lpwstr>Jan Georg Vedeler</vt:lpwstr>
  </property>
  <property fmtid="{D5CDD505-2E9C-101B-9397-08002B2CF9AE}" pid="7" name="_ReviewingToolsShownOnce">
    <vt:lpwstr/>
  </property>
</Properties>
</file>