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0B" w:rsidRDefault="00E2248D" w:rsidP="00CF000B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47875" cy="1447800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01E">
        <w:rPr>
          <w:rFonts w:ascii="Arial" w:hAnsi="Arial" w:cs="Arial"/>
          <w:color w:val="000000"/>
        </w:rPr>
        <w:tab/>
      </w:r>
      <w:r w:rsidR="007B201E">
        <w:rPr>
          <w:rFonts w:ascii="Arial" w:hAnsi="Arial" w:cs="Arial"/>
          <w:color w:val="000000"/>
        </w:rPr>
        <w:tab/>
      </w:r>
      <w:r w:rsidR="007B201E">
        <w:rPr>
          <w:rFonts w:ascii="Arial" w:hAnsi="Arial" w:cs="Arial"/>
          <w:color w:val="000000"/>
        </w:rPr>
        <w:tab/>
      </w:r>
      <w:r w:rsidR="007B201E">
        <w:rPr>
          <w:rFonts w:ascii="Arial" w:hAnsi="Arial" w:cs="Arial"/>
          <w:color w:val="000000"/>
        </w:rPr>
        <w:tab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933575" cy="1085850"/>
            <wp:effectExtent l="19050" t="0" r="9525" b="0"/>
            <wp:docPr id="2" name="Bilde 2" descr="Logo NY 201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Y 2011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C8B" w:rsidRDefault="00145C8B">
      <w:pPr>
        <w:rPr>
          <w:szCs w:val="26"/>
        </w:rPr>
      </w:pPr>
    </w:p>
    <w:p w:rsidR="008C1165" w:rsidRDefault="008C1165">
      <w:pPr>
        <w:rPr>
          <w:szCs w:val="26"/>
        </w:rPr>
      </w:pPr>
    </w:p>
    <w:p w:rsidR="00BF1A74" w:rsidRDefault="00BF1A74">
      <w:pPr>
        <w:rPr>
          <w:szCs w:val="26"/>
        </w:rPr>
      </w:pPr>
    </w:p>
    <w:p w:rsidR="00BF1A74" w:rsidRPr="00A8514B" w:rsidRDefault="00BF1A74">
      <w:pPr>
        <w:rPr>
          <w:szCs w:val="26"/>
        </w:rPr>
      </w:pPr>
    </w:p>
    <w:p w:rsidR="000C3F81" w:rsidRDefault="0094731D">
      <w:pPr>
        <w:rPr>
          <w:szCs w:val="26"/>
        </w:rPr>
      </w:pPr>
      <w:bookmarkStart w:id="0" w:name="adressat"/>
      <w:bookmarkEnd w:id="0"/>
      <w:r>
        <w:rPr>
          <w:szCs w:val="26"/>
        </w:rPr>
        <w:t>Riksadvokatembetet</w:t>
      </w:r>
    </w:p>
    <w:p w:rsidR="000C3F81" w:rsidRDefault="0094731D">
      <w:pPr>
        <w:rPr>
          <w:szCs w:val="26"/>
        </w:rPr>
      </w:pPr>
      <w:r>
        <w:rPr>
          <w:szCs w:val="26"/>
        </w:rPr>
        <w:t>Riksadvokat Tor-Aksel Busch</w:t>
      </w:r>
      <w:r w:rsidR="000C3F81">
        <w:rPr>
          <w:szCs w:val="26"/>
        </w:rPr>
        <w:t xml:space="preserve"> </w:t>
      </w:r>
    </w:p>
    <w:p w:rsidR="000C3F81" w:rsidRDefault="0094731D">
      <w:pPr>
        <w:rPr>
          <w:szCs w:val="26"/>
        </w:rPr>
      </w:pPr>
      <w:r>
        <w:rPr>
          <w:szCs w:val="26"/>
        </w:rPr>
        <w:t>Postboks 8200 Dep.</w:t>
      </w:r>
    </w:p>
    <w:p w:rsidR="0094731D" w:rsidRDefault="0094731D">
      <w:pPr>
        <w:rPr>
          <w:szCs w:val="26"/>
        </w:rPr>
      </w:pPr>
      <w:r>
        <w:rPr>
          <w:szCs w:val="26"/>
        </w:rPr>
        <w:t>0030 Oslo</w:t>
      </w:r>
    </w:p>
    <w:p w:rsidR="00BF1A74" w:rsidRDefault="00BF1A74">
      <w:pPr>
        <w:rPr>
          <w:szCs w:val="26"/>
        </w:rPr>
      </w:pPr>
    </w:p>
    <w:p w:rsidR="00BF1A74" w:rsidRDefault="00BF1A74">
      <w:pPr>
        <w:rPr>
          <w:szCs w:val="26"/>
        </w:rPr>
      </w:pPr>
    </w:p>
    <w:p w:rsidR="00BF1A74" w:rsidRDefault="00BF1A74">
      <w:pPr>
        <w:rPr>
          <w:szCs w:val="26"/>
        </w:rPr>
      </w:pPr>
    </w:p>
    <w:p w:rsidR="00145C8B" w:rsidRPr="00A8514B" w:rsidRDefault="005327A3">
      <w:pPr>
        <w:jc w:val="right"/>
        <w:rPr>
          <w:szCs w:val="26"/>
        </w:rPr>
      </w:pPr>
      <w:bookmarkStart w:id="1" w:name="dato"/>
      <w:bookmarkEnd w:id="1"/>
      <w:r>
        <w:rPr>
          <w:szCs w:val="26"/>
        </w:rPr>
        <w:t>20</w:t>
      </w:r>
      <w:r w:rsidR="000C3F81">
        <w:rPr>
          <w:szCs w:val="26"/>
        </w:rPr>
        <w:t>.</w:t>
      </w:r>
      <w:r>
        <w:rPr>
          <w:szCs w:val="26"/>
        </w:rPr>
        <w:t>12</w:t>
      </w:r>
      <w:r w:rsidR="000C3F81">
        <w:rPr>
          <w:szCs w:val="26"/>
        </w:rPr>
        <w:t>.2011</w:t>
      </w:r>
    </w:p>
    <w:p w:rsidR="00145C8B" w:rsidRPr="00A8514B" w:rsidRDefault="00145C8B">
      <w:pPr>
        <w:jc w:val="right"/>
        <w:rPr>
          <w:szCs w:val="26"/>
        </w:rPr>
      </w:pPr>
      <w:r w:rsidRPr="00A8514B">
        <w:rPr>
          <w:szCs w:val="26"/>
        </w:rPr>
        <w:t xml:space="preserve">Vår referanse: </w:t>
      </w:r>
      <w:bookmarkStart w:id="2" w:name="saksnummer"/>
      <w:bookmarkEnd w:id="2"/>
      <w:r w:rsidR="000C3F81">
        <w:rPr>
          <w:szCs w:val="26"/>
        </w:rPr>
        <w:t>11-765</w:t>
      </w:r>
    </w:p>
    <w:p w:rsidR="00145C8B" w:rsidRDefault="00145C8B">
      <w:pPr>
        <w:rPr>
          <w:szCs w:val="26"/>
        </w:rPr>
      </w:pPr>
    </w:p>
    <w:p w:rsidR="00BF1A74" w:rsidRPr="00A8514B" w:rsidRDefault="00BF1A74">
      <w:pPr>
        <w:rPr>
          <w:szCs w:val="26"/>
        </w:rPr>
      </w:pPr>
    </w:p>
    <w:p w:rsidR="00145C8B" w:rsidRPr="00A8514B" w:rsidRDefault="00145C8B">
      <w:pPr>
        <w:rPr>
          <w:szCs w:val="26"/>
        </w:rPr>
      </w:pPr>
    </w:p>
    <w:p w:rsidR="00485240" w:rsidRPr="00266F64" w:rsidRDefault="000C3F81" w:rsidP="0009010A">
      <w:pPr>
        <w:pStyle w:val="Overskrift2"/>
        <w:jc w:val="center"/>
        <w:rPr>
          <w:rFonts w:ascii="Gill Sans MT" w:hAnsi="Gill Sans MT"/>
          <w:szCs w:val="28"/>
        </w:rPr>
      </w:pPr>
      <w:bookmarkStart w:id="3" w:name="Tittel"/>
      <w:bookmarkEnd w:id="3"/>
      <w:r>
        <w:rPr>
          <w:rFonts w:ascii="Gill Sans MT" w:hAnsi="Gill Sans MT"/>
          <w:szCs w:val="28"/>
        </w:rPr>
        <w:t>Prioritering ved straffesaksbehandlingen i politiet og påtalemyndigheten - vern for journalister og redaktører mot trusler</w:t>
      </w:r>
    </w:p>
    <w:p w:rsidR="00485240" w:rsidRDefault="00485240" w:rsidP="00A8514B"/>
    <w:p w:rsidR="00BF1A74" w:rsidRDefault="00BF1A74" w:rsidP="00A8514B"/>
    <w:p w:rsidR="00145C8B" w:rsidRDefault="002531A8" w:rsidP="0009010A">
      <w:pPr>
        <w:jc w:val="both"/>
      </w:pPr>
      <w:bookmarkStart w:id="4" w:name="tekst"/>
      <w:bookmarkEnd w:id="4"/>
      <w:r>
        <w:pict>
          <v:line id="_x0000_s1027" style="position:absolute;left:0;text-align:left;z-index:251657728;mso-position-horizontal-relative:page;mso-position-vertical-relative:page" from="14.4pt,300.5pt" to="21.6pt,300.5pt" o:allowincell="f">
            <w10:wrap anchorx="page" anchory="page"/>
          </v:line>
        </w:pict>
      </w:r>
      <w:r w:rsidR="0094731D">
        <w:t xml:space="preserve">Norsk Redaktørforening (NR) og Norsk Journalistlag (NJ) </w:t>
      </w:r>
      <w:r w:rsidR="00E17ABD">
        <w:t>viser til vårt fell</w:t>
      </w:r>
      <w:r w:rsidR="009562C8">
        <w:t>esbrev av 31. januar 2011</w:t>
      </w:r>
      <w:r w:rsidR="00C819EF">
        <w:t>,</w:t>
      </w:r>
      <w:r w:rsidR="009562C8">
        <w:t xml:space="preserve"> samt Ri</w:t>
      </w:r>
      <w:r w:rsidR="00E17ABD">
        <w:t>ksadvokatens svarbrev av 9. mars i år</w:t>
      </w:r>
      <w:r w:rsidR="00C819EF">
        <w:t>,</w:t>
      </w:r>
      <w:r w:rsidR="00E17ABD">
        <w:t xml:space="preserve"> om å sette trusler mot journaliser og redaktører på «prioriteringsliste» ved iverksettelse og gjennomføring av etterforskning (deres referanse: Ra 11-79 HST/jaa 443.3).</w:t>
      </w:r>
    </w:p>
    <w:p w:rsidR="00E17ABD" w:rsidRDefault="00E17ABD" w:rsidP="0009010A">
      <w:pPr>
        <w:jc w:val="both"/>
      </w:pPr>
    </w:p>
    <w:p w:rsidR="00E17ABD" w:rsidRDefault="00E17ABD" w:rsidP="0009010A">
      <w:pPr>
        <w:jc w:val="both"/>
      </w:pPr>
      <w:r>
        <w:t>Dessverre kom vårt fellesbrev for sent i forhold til å få innarbeidet dette i Riks</w:t>
      </w:r>
      <w:r w:rsidR="00C819EF">
        <w:t>-</w:t>
      </w:r>
      <w:r>
        <w:t xml:space="preserve">advokatens mål- og prioriteringsrundskriv for 2011. </w:t>
      </w:r>
      <w:r w:rsidR="009562C8">
        <w:t xml:space="preserve">Siden problemet er minst like stort når vi </w:t>
      </w:r>
      <w:r w:rsidR="00262BF1">
        <w:t xml:space="preserve">nå </w:t>
      </w:r>
      <w:r w:rsidR="009562C8">
        <w:t xml:space="preserve">går inn i et nytt år, ønsker vi </w:t>
      </w:r>
      <w:r w:rsidR="00BA1024">
        <w:t xml:space="preserve">igjen </w:t>
      </w:r>
      <w:r w:rsidR="009562C8">
        <w:t xml:space="preserve">å komme med </w:t>
      </w:r>
      <w:r w:rsidR="00BA1024">
        <w:t xml:space="preserve">samme </w:t>
      </w:r>
      <w:r w:rsidR="009562C8">
        <w:t xml:space="preserve">oppfordring for </w:t>
      </w:r>
      <w:r w:rsidR="00BA1024">
        <w:t xml:space="preserve">liknende </w:t>
      </w:r>
      <w:r w:rsidR="009562C8">
        <w:t>«prioriteringsliste» for 2012.</w:t>
      </w:r>
    </w:p>
    <w:p w:rsidR="009562C8" w:rsidRDefault="009562C8" w:rsidP="0009010A">
      <w:pPr>
        <w:jc w:val="both"/>
      </w:pPr>
    </w:p>
    <w:p w:rsidR="00E224A0" w:rsidRDefault="00E76ADD" w:rsidP="0009010A">
      <w:pPr>
        <w:jc w:val="both"/>
      </w:pPr>
      <w:r>
        <w:t xml:space="preserve">I følge den internasjonale presseorganisasjonen International News Safety Institute (INSI) er foreløpig 116 journalister og mediefolk drept i løpet av året som har gått. </w:t>
      </w:r>
      <w:r w:rsidRPr="00E76ADD">
        <w:rPr>
          <w:lang w:val="en-US"/>
        </w:rPr>
        <w:t xml:space="preserve">UNESCO skal i mars 2012 behandle utkast til FNs «Plan of Action on the Safety of Journalists». </w:t>
      </w:r>
      <w:r w:rsidR="00BA1024">
        <w:t xml:space="preserve">Vår erfaring </w:t>
      </w:r>
      <w:r>
        <w:t xml:space="preserve">her i landet </w:t>
      </w:r>
      <w:r w:rsidR="00BA1024">
        <w:t xml:space="preserve">er at trusler mot pressefolk stadig er stigende. I året som har gått har vi flere eksempler på dette innenfor journalistikk om høyreekstreme, kriminelle mc-miljøer, forbrukertester, hvitvasking og økonomisk kriminalitet. </w:t>
      </w:r>
    </w:p>
    <w:p w:rsidR="00E76ADD" w:rsidRDefault="00E76ADD" w:rsidP="0009010A">
      <w:pPr>
        <w:jc w:val="both"/>
      </w:pPr>
    </w:p>
    <w:p w:rsidR="00E76ADD" w:rsidRDefault="00BF1A74" w:rsidP="0009010A">
      <w:pPr>
        <w:jc w:val="both"/>
      </w:pPr>
      <w:r>
        <w:br w:type="page"/>
      </w:r>
      <w:r w:rsidR="00E76ADD">
        <w:lastRenderedPageBreak/>
        <w:t xml:space="preserve">Et </w:t>
      </w:r>
      <w:r>
        <w:t xml:space="preserve">konkret </w:t>
      </w:r>
      <w:r w:rsidR="00E76ADD">
        <w:t xml:space="preserve">eksempel fra året som har gått, er de alvorlige truslene redaksjonen i Drammens Tidende, og særlig en kvinnelig journalist, har vært utsatt for etter å ha omtalt en anonymisert manns kriminelle handlinger mens han i juli 2011 var på frifot i ti dager. Hans far var allerede i august 2010 blitt anmeldt for trakassering av redaksjonen, men det var først da han truet journalisten som </w:t>
      </w:r>
      <w:r>
        <w:t>hadde b</w:t>
      </w:r>
      <w:r w:rsidR="00E76ADD">
        <w:t>yline på den omtalte saken, at polit</w:t>
      </w:r>
      <w:r w:rsidR="009A21EB">
        <w:t>i</w:t>
      </w:r>
      <w:r w:rsidR="00E76ADD">
        <w:t xml:space="preserve">et grep inn. Truslene bestod blant annet av </w:t>
      </w:r>
      <w:r>
        <w:t>sms</w:t>
      </w:r>
      <w:r w:rsidR="00E76ADD">
        <w:t xml:space="preserve">’er om voldtekt og voldsbruk. </w:t>
      </w:r>
      <w:r w:rsidR="008C1165">
        <w:t xml:space="preserve">Påtalemyndigheten </w:t>
      </w:r>
      <w:r>
        <w:t xml:space="preserve">nedla </w:t>
      </w:r>
      <w:r w:rsidR="008C1165">
        <w:t>mannen besøksforbud etter straffeprosess</w:t>
      </w:r>
      <w:r>
        <w:t>-</w:t>
      </w:r>
      <w:r w:rsidR="008C1165">
        <w:t xml:space="preserve">loven § </w:t>
      </w:r>
      <w:r>
        <w:t>2</w:t>
      </w:r>
      <w:r w:rsidR="008C1165">
        <w:t xml:space="preserve">22a) først 13. oktober i år. Da hadde det gått så langt at den kvinnelige journalisten </w:t>
      </w:r>
      <w:r w:rsidR="0007402D">
        <w:t xml:space="preserve">hadde blant annet </w:t>
      </w:r>
      <w:r w:rsidR="008C1165">
        <w:t xml:space="preserve">fått seg alarm, vært hos psykolog og fjernet navnet på ringeklokken sin. </w:t>
      </w:r>
    </w:p>
    <w:p w:rsidR="00E76ADD" w:rsidRDefault="00E76ADD" w:rsidP="0009010A">
      <w:pPr>
        <w:jc w:val="both"/>
      </w:pPr>
    </w:p>
    <w:p w:rsidR="008C1165" w:rsidRDefault="00BF1A74" w:rsidP="0009010A">
      <w:pPr>
        <w:jc w:val="both"/>
      </w:pPr>
      <w:r>
        <w:t xml:space="preserve">Et annet eksempel er Aust-Agder tingretts dom av 5. august i år (saksnr. 11-073430MED-AUAG) om telefontrusler mot tidligere redaktør av Frolendingen. Tingretten kom til at truslene om </w:t>
      </w:r>
      <w:r w:rsidR="007262C5">
        <w:t xml:space="preserve">å </w:t>
      </w:r>
      <w:r>
        <w:t>drepe den tidligere redaktøren</w:t>
      </w:r>
      <w:r w:rsidR="007262C5">
        <w:t xml:space="preserve"> fordi </w:t>
      </w:r>
      <w:r>
        <w:t xml:space="preserve">han ikke ville publisere sakene som mannen hadde tipset </w:t>
      </w:r>
      <w:r w:rsidR="007262C5">
        <w:t xml:space="preserve">avisen </w:t>
      </w:r>
      <w:r>
        <w:t xml:space="preserve">om, ikke var skikket til å fremkalle alvorlig frykt. </w:t>
      </w:r>
      <w:r w:rsidR="007262C5">
        <w:t xml:space="preserve">Dette skyldtes blant annet at </w:t>
      </w:r>
      <w:r w:rsidR="0007402D">
        <w:t xml:space="preserve">retten la til grunn at </w:t>
      </w:r>
      <w:r w:rsidR="007262C5">
        <w:t xml:space="preserve">mannen </w:t>
      </w:r>
      <w:r w:rsidR="0007402D">
        <w:t xml:space="preserve">hadde en </w:t>
      </w:r>
      <w:r w:rsidR="007262C5">
        <w:t xml:space="preserve">«omgangstone som både var noe kverulerende og aggressiv». </w:t>
      </w:r>
      <w:r>
        <w:t>Derimot ble mannen dømt for overtredelse av straffeloven § 390a) til en bot på 8.000 kroner.</w:t>
      </w:r>
    </w:p>
    <w:p w:rsidR="008C1165" w:rsidRDefault="008C1165" w:rsidP="0009010A">
      <w:pPr>
        <w:jc w:val="both"/>
      </w:pPr>
    </w:p>
    <w:p w:rsidR="009562C8" w:rsidRDefault="00BA768F" w:rsidP="0009010A">
      <w:pPr>
        <w:jc w:val="both"/>
      </w:pPr>
      <w:r>
        <w:t xml:space="preserve">Når </w:t>
      </w:r>
      <w:r w:rsidR="008C1165">
        <w:t>Høyesterett for eksempel i Rt 2002 side 1202 og Rt 2002 side 1217</w:t>
      </w:r>
      <w:r>
        <w:t>, av hensyn til pressefriheten og demokratiutviklingen, straffeskjerper straffeutmålingen ved slike trusler (jf. vårt tidligere fellesbrev</w:t>
      </w:r>
      <w:r w:rsidR="008C1165">
        <w:t xml:space="preserve"> </w:t>
      </w:r>
      <w:r>
        <w:t>), ber vi om at dette også gjenspeiles i Riks</w:t>
      </w:r>
      <w:r w:rsidR="008C1165">
        <w:t>-</w:t>
      </w:r>
      <w:r>
        <w:t xml:space="preserve">advokatens prioritering for straffesaksbehandlingen i politiet og påtalemyndigheten. </w:t>
      </w:r>
    </w:p>
    <w:p w:rsidR="00BA1024" w:rsidRDefault="00BA1024" w:rsidP="0009010A">
      <w:pPr>
        <w:jc w:val="both"/>
      </w:pPr>
    </w:p>
    <w:p w:rsidR="00BA768F" w:rsidRDefault="00BA768F" w:rsidP="0009010A">
      <w:pPr>
        <w:jc w:val="both"/>
      </w:pPr>
    </w:p>
    <w:p w:rsidR="00BA1024" w:rsidRDefault="00BA1024" w:rsidP="0009010A">
      <w:pPr>
        <w:jc w:val="both"/>
      </w:pPr>
    </w:p>
    <w:p w:rsidR="00BA768F" w:rsidRDefault="00BA768F" w:rsidP="0009010A">
      <w:pPr>
        <w:jc w:val="both"/>
      </w:pPr>
      <w:r>
        <w:t>Med vennlig hilsen</w:t>
      </w:r>
    </w:p>
    <w:p w:rsidR="00BA768F" w:rsidRDefault="00BA768F" w:rsidP="0009010A">
      <w:pPr>
        <w:jc w:val="both"/>
      </w:pPr>
      <w:r>
        <w:t>for Norsk Redaktørforening</w:t>
      </w:r>
      <w:r w:rsidR="00CF000B">
        <w:tab/>
      </w:r>
      <w:r w:rsidR="00CF000B">
        <w:tab/>
      </w:r>
      <w:r w:rsidR="00CF000B">
        <w:tab/>
      </w:r>
      <w:r w:rsidR="00CF000B">
        <w:tab/>
      </w:r>
      <w:r w:rsidR="00CF000B">
        <w:tab/>
        <w:t>for Norsk Journali</w:t>
      </w:r>
      <w:r w:rsidR="003E2564">
        <w:t>s</w:t>
      </w:r>
      <w:r w:rsidR="00CF000B">
        <w:t>tlag</w:t>
      </w:r>
    </w:p>
    <w:p w:rsidR="00BA768F" w:rsidRDefault="00E2248D" w:rsidP="0009010A">
      <w:pPr>
        <w:jc w:val="both"/>
      </w:pPr>
      <w:r>
        <w:rPr>
          <w:noProof/>
        </w:rPr>
        <w:drawing>
          <wp:inline distT="0" distB="0" distL="0" distR="0">
            <wp:extent cx="1419225" cy="809625"/>
            <wp:effectExtent l="19050" t="0" r="9525" b="0"/>
            <wp:docPr id="3" name="Bilde 3" descr="Signatur Arne Jensen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 Arne Jensen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367E">
        <w:tab/>
      </w:r>
      <w:r w:rsidR="00FF367E">
        <w:tab/>
      </w:r>
      <w:r w:rsidR="00FF367E">
        <w:tab/>
      </w:r>
      <w:r w:rsidR="00FF367E">
        <w:tab/>
      </w:r>
      <w:r w:rsidR="00FF367E">
        <w:tab/>
      </w:r>
      <w:r w:rsidR="00FF367E">
        <w:tab/>
      </w:r>
      <w:r>
        <w:rPr>
          <w:noProof/>
        </w:rPr>
        <w:drawing>
          <wp:inline distT="0" distB="0" distL="0" distR="0">
            <wp:extent cx="1257300" cy="342900"/>
            <wp:effectExtent l="19050" t="0" r="0" b="0"/>
            <wp:docPr id="4" name="Bilde 4" descr="sig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8F" w:rsidRDefault="00BA768F" w:rsidP="0009010A">
      <w:pPr>
        <w:jc w:val="both"/>
      </w:pPr>
    </w:p>
    <w:p w:rsidR="00BA768F" w:rsidRDefault="00CF000B" w:rsidP="0009010A">
      <w:pPr>
        <w:jc w:val="both"/>
      </w:pPr>
      <w:r>
        <w:t>Arne Jensen</w:t>
      </w:r>
      <w:r w:rsidR="00BA768F">
        <w:tab/>
      </w:r>
      <w:r w:rsidR="00BA768F">
        <w:tab/>
      </w:r>
      <w:r w:rsidR="00BA768F">
        <w:tab/>
      </w:r>
      <w:r w:rsidR="00BA768F">
        <w:tab/>
      </w:r>
      <w:r w:rsidR="00BA768F">
        <w:tab/>
      </w:r>
      <w:r w:rsidR="00BA768F">
        <w:tab/>
      </w:r>
      <w:r w:rsidR="00BA768F">
        <w:tab/>
      </w:r>
      <w:r w:rsidR="00BA768F">
        <w:tab/>
      </w:r>
      <w:r>
        <w:t>Ina Lindahl Nyrud</w:t>
      </w:r>
    </w:p>
    <w:p w:rsidR="00BA768F" w:rsidRPr="00BA768F" w:rsidRDefault="00CF000B" w:rsidP="0009010A">
      <w:pPr>
        <w:jc w:val="both"/>
        <w:rPr>
          <w:i/>
        </w:rPr>
      </w:pPr>
      <w:r>
        <w:rPr>
          <w:i/>
        </w:rPr>
        <w:t xml:space="preserve">ass. </w:t>
      </w:r>
      <w:r w:rsidR="00BA768F">
        <w:rPr>
          <w:i/>
        </w:rPr>
        <w:t>g</w:t>
      </w:r>
      <w:r w:rsidR="00BA768F" w:rsidRPr="00BA768F">
        <w:rPr>
          <w:i/>
        </w:rPr>
        <w:t>eneralsekretær</w:t>
      </w:r>
      <w:r w:rsidR="00BA768F">
        <w:rPr>
          <w:i/>
        </w:rPr>
        <w:tab/>
      </w:r>
      <w:r w:rsidR="00BA768F">
        <w:rPr>
          <w:i/>
        </w:rPr>
        <w:tab/>
      </w:r>
      <w:r w:rsidR="00BA768F">
        <w:rPr>
          <w:i/>
        </w:rPr>
        <w:tab/>
      </w:r>
      <w:r w:rsidR="00BA768F">
        <w:rPr>
          <w:i/>
        </w:rPr>
        <w:tab/>
      </w:r>
      <w:r w:rsidR="00BA768F">
        <w:rPr>
          <w:i/>
        </w:rPr>
        <w:tab/>
      </w:r>
      <w:r w:rsidR="00BA768F">
        <w:rPr>
          <w:i/>
        </w:rPr>
        <w:tab/>
      </w:r>
      <w:r w:rsidR="00BA768F">
        <w:rPr>
          <w:i/>
        </w:rPr>
        <w:tab/>
      </w:r>
      <w:r>
        <w:rPr>
          <w:i/>
        </w:rPr>
        <w:t>advokat</w:t>
      </w:r>
    </w:p>
    <w:sectPr w:rsidR="00BA768F" w:rsidRPr="00BA768F" w:rsidSect="007E4C0C">
      <w:footerReference w:type="even" r:id="rId10"/>
      <w:footerReference w:type="default" r:id="rId11"/>
      <w:pgSz w:w="11906" w:h="16838" w:code="9"/>
      <w:pgMar w:top="1418" w:right="1701" w:bottom="567" w:left="1418" w:header="709" w:footer="425" w:gutter="0"/>
      <w:paperSrc w:first="516" w:other="517"/>
      <w:cols w:space="708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C2D" w:rsidRDefault="00143C2D">
      <w:r>
        <w:separator/>
      </w:r>
    </w:p>
  </w:endnote>
  <w:endnote w:type="continuationSeparator" w:id="0">
    <w:p w:rsidR="00143C2D" w:rsidRDefault="00143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65" w:rsidRDefault="002531A8">
    <w:pPr>
      <w:framePr w:wrap="around" w:vAnchor="text" w:hAnchor="margin" w:xAlign="right" w:y="1"/>
    </w:pPr>
    <w:r>
      <w:fldChar w:fldCharType="begin"/>
    </w:r>
    <w:r w:rsidR="008C1165">
      <w:instrText xml:space="preserve">PAGE  </w:instrText>
    </w:r>
    <w:r>
      <w:fldChar w:fldCharType="separate"/>
    </w:r>
    <w:r w:rsidR="008C1165">
      <w:rPr>
        <w:noProof/>
      </w:rPr>
      <w:t>1</w:t>
    </w:r>
    <w:r>
      <w:fldChar w:fldCharType="end"/>
    </w:r>
  </w:p>
  <w:p w:rsidR="008C1165" w:rsidRDefault="008C1165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65" w:rsidRDefault="008C1165">
    <w:pPr>
      <w:tabs>
        <w:tab w:val="center" w:pos="4395"/>
        <w:tab w:val="right" w:pos="8789"/>
      </w:tabs>
      <w:jc w:val="center"/>
      <w:rPr>
        <w:rFonts w:ascii="Arial" w:hAnsi="Arial"/>
        <w:spacing w:val="20"/>
        <w:sz w:val="14"/>
      </w:rPr>
    </w:pPr>
    <w:r>
      <w:rPr>
        <w:rFonts w:ascii="Arial" w:hAnsi="Arial"/>
        <w:spacing w:val="20"/>
        <w:sz w:val="14"/>
      </w:rPr>
      <w:tab/>
      <w:t>Norsk Journalistlag, Postboks 8793 Youngstorget, 0028 Oslo</w:t>
    </w:r>
    <w:r>
      <w:rPr>
        <w:rFonts w:ascii="Arial" w:hAnsi="Arial"/>
        <w:spacing w:val="20"/>
        <w:sz w:val="14"/>
      </w:rPr>
      <w:tab/>
      <w:t xml:space="preserve">Side </w:t>
    </w:r>
    <w:r w:rsidR="002531A8">
      <w:rPr>
        <w:rFonts w:ascii="Arial" w:hAnsi="Arial"/>
        <w:spacing w:val="20"/>
        <w:sz w:val="14"/>
      </w:rPr>
      <w:fldChar w:fldCharType="begin"/>
    </w:r>
    <w:r>
      <w:rPr>
        <w:rFonts w:ascii="Arial" w:hAnsi="Arial"/>
        <w:spacing w:val="20"/>
        <w:sz w:val="14"/>
      </w:rPr>
      <w:instrText xml:space="preserve"> PAGE  \* MERGEFORMAT </w:instrText>
    </w:r>
    <w:r w:rsidR="002531A8">
      <w:rPr>
        <w:rFonts w:ascii="Arial" w:hAnsi="Arial"/>
        <w:spacing w:val="20"/>
        <w:sz w:val="14"/>
      </w:rPr>
      <w:fldChar w:fldCharType="separate"/>
    </w:r>
    <w:r w:rsidR="00E2248D">
      <w:rPr>
        <w:rFonts w:ascii="Arial" w:hAnsi="Arial"/>
        <w:noProof/>
        <w:spacing w:val="20"/>
        <w:sz w:val="14"/>
      </w:rPr>
      <w:t>2</w:t>
    </w:r>
    <w:r w:rsidR="002531A8">
      <w:rPr>
        <w:rFonts w:ascii="Arial" w:hAnsi="Arial"/>
        <w:spacing w:val="20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C2D" w:rsidRDefault="00143C2D">
      <w:r>
        <w:separator/>
      </w:r>
    </w:p>
  </w:footnote>
  <w:footnote w:type="continuationSeparator" w:id="0">
    <w:p w:rsidR="00143C2D" w:rsidRDefault="00143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F81"/>
    <w:rsid w:val="00013A7E"/>
    <w:rsid w:val="0007402D"/>
    <w:rsid w:val="0009010A"/>
    <w:rsid w:val="000C3F81"/>
    <w:rsid w:val="000E1552"/>
    <w:rsid w:val="00143C2D"/>
    <w:rsid w:val="00145C8B"/>
    <w:rsid w:val="001F2072"/>
    <w:rsid w:val="002531A8"/>
    <w:rsid w:val="00262BF1"/>
    <w:rsid w:val="0026483A"/>
    <w:rsid w:val="00266F64"/>
    <w:rsid w:val="002F148B"/>
    <w:rsid w:val="003143D4"/>
    <w:rsid w:val="00341182"/>
    <w:rsid w:val="003E2564"/>
    <w:rsid w:val="00433158"/>
    <w:rsid w:val="00473B25"/>
    <w:rsid w:val="004774CA"/>
    <w:rsid w:val="00485240"/>
    <w:rsid w:val="005327A3"/>
    <w:rsid w:val="00542066"/>
    <w:rsid w:val="00550344"/>
    <w:rsid w:val="005B6A1E"/>
    <w:rsid w:val="00606313"/>
    <w:rsid w:val="00717D10"/>
    <w:rsid w:val="007262C5"/>
    <w:rsid w:val="007B201E"/>
    <w:rsid w:val="007E4C0C"/>
    <w:rsid w:val="00874E5F"/>
    <w:rsid w:val="008C1165"/>
    <w:rsid w:val="0094731D"/>
    <w:rsid w:val="009562C8"/>
    <w:rsid w:val="009A21EB"/>
    <w:rsid w:val="00A07A44"/>
    <w:rsid w:val="00A8514B"/>
    <w:rsid w:val="00AB504C"/>
    <w:rsid w:val="00AB7653"/>
    <w:rsid w:val="00B35F31"/>
    <w:rsid w:val="00BA1024"/>
    <w:rsid w:val="00BA2553"/>
    <w:rsid w:val="00BA768F"/>
    <w:rsid w:val="00BF1A74"/>
    <w:rsid w:val="00C01BC2"/>
    <w:rsid w:val="00C07E52"/>
    <w:rsid w:val="00C819EF"/>
    <w:rsid w:val="00CF000B"/>
    <w:rsid w:val="00E17ABD"/>
    <w:rsid w:val="00E2248D"/>
    <w:rsid w:val="00E224A0"/>
    <w:rsid w:val="00E428C1"/>
    <w:rsid w:val="00E76ADD"/>
    <w:rsid w:val="00E901D5"/>
    <w:rsid w:val="00FB6312"/>
    <w:rsid w:val="00FF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14B"/>
    <w:rPr>
      <w:rFonts w:ascii="Garamond" w:hAnsi="Garamond"/>
      <w:sz w:val="26"/>
    </w:rPr>
  </w:style>
  <w:style w:type="paragraph" w:styleId="Overskrift1">
    <w:name w:val="heading 1"/>
    <w:basedOn w:val="Normal"/>
    <w:next w:val="Normal"/>
    <w:qFormat/>
    <w:rsid w:val="002531A8"/>
    <w:pPr>
      <w:keepNext/>
      <w:spacing w:before="120" w:after="120"/>
      <w:outlineLvl w:val="0"/>
    </w:pPr>
    <w:rPr>
      <w:rFonts w:ascii="Arial" w:hAnsi="Arial"/>
      <w:b/>
      <w:kern w:val="28"/>
      <w:sz w:val="40"/>
    </w:rPr>
  </w:style>
  <w:style w:type="paragraph" w:styleId="Overskrift2">
    <w:name w:val="heading 2"/>
    <w:basedOn w:val="Normal"/>
    <w:next w:val="Normal"/>
    <w:qFormat/>
    <w:rsid w:val="002531A8"/>
    <w:pPr>
      <w:keepNext/>
      <w:spacing w:before="120" w:after="12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qFormat/>
    <w:rsid w:val="002531A8"/>
    <w:pPr>
      <w:keepNext/>
      <w:spacing w:before="120" w:after="120"/>
      <w:outlineLvl w:val="2"/>
    </w:pPr>
    <w:rPr>
      <w:rFonts w:ascii="Arial" w:hAnsi="Arial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2531A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2531A8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2531A8"/>
    <w:pPr>
      <w:spacing w:after="12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0631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6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Klikk her, og skriv inn mottakerens navn og adresse</vt:lpstr>
    </vt:vector>
  </TitlesOfParts>
  <Company>Gjensidige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Klikk her, og skriv inn mottakerens navn og adresse</dc:title>
  <dc:creator>Lindahl Nyrud, Ina</dc:creator>
  <cp:lastModifiedBy>arne</cp:lastModifiedBy>
  <cp:revision>2</cp:revision>
  <cp:lastPrinted>2011-12-20T12:45:00Z</cp:lastPrinted>
  <dcterms:created xsi:type="dcterms:W3CDTF">2011-12-22T10:46:00Z</dcterms:created>
  <dcterms:modified xsi:type="dcterms:W3CDTF">2011-12-22T10:46:00Z</dcterms:modified>
</cp:coreProperties>
</file>