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B6" w:rsidRPr="009037B6" w:rsidRDefault="009037B6" w:rsidP="009037B6">
      <w:pPr>
        <w:spacing w:after="0" w:line="240" w:lineRule="auto"/>
        <w:rPr>
          <w:rFonts w:ascii="Calibri" w:hAnsi="Calibri" w:cs="Calibri"/>
          <w:lang w:eastAsia="nb-NO"/>
        </w:rPr>
      </w:pPr>
      <w:r>
        <w:rPr>
          <w:rFonts w:ascii="Calibri" w:hAnsi="Calibri" w:cs="Calibri"/>
          <w:noProof/>
          <w:lang w:eastAsia="nb-NO"/>
        </w:rPr>
        <w:drawing>
          <wp:inline distT="0" distB="0" distL="0" distR="0">
            <wp:extent cx="278749" cy="360000"/>
            <wp:effectExtent l="19050" t="0" r="7001" b="0"/>
            <wp:docPr id="1" name="Bilde 25" descr="NR-spli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5" descr="NR-split-LOGO.jpg"/>
                    <pic:cNvPicPr>
                      <a:picLocks noChangeAspect="1" noChangeArrowheads="1"/>
                    </pic:cNvPicPr>
                  </pic:nvPicPr>
                  <pic:blipFill>
                    <a:blip r:embed="rId5" r:link="rId6" cstate="print"/>
                    <a:srcRect/>
                    <a:stretch>
                      <a:fillRect/>
                    </a:stretch>
                  </pic:blipFill>
                  <pic:spPr bwMode="auto">
                    <a:xfrm>
                      <a:off x="0" y="0"/>
                      <a:ext cx="278749" cy="360000"/>
                    </a:xfrm>
                    <a:prstGeom prst="rect">
                      <a:avLst/>
                    </a:prstGeom>
                    <a:noFill/>
                    <a:ln w="9525">
                      <a:noFill/>
                      <a:miter lim="800000"/>
                      <a:headEnd/>
                      <a:tailEnd/>
                    </a:ln>
                  </pic:spPr>
                </pic:pic>
              </a:graphicData>
            </a:graphic>
          </wp:inline>
        </w:drawing>
      </w:r>
      <w:r>
        <w:rPr>
          <w:rFonts w:ascii="Calibri" w:hAnsi="Calibri" w:cs="Calibri"/>
          <w:noProof/>
          <w:lang w:eastAsia="nb-NO"/>
        </w:rPr>
        <w:drawing>
          <wp:inline distT="0" distB="0" distL="0" distR="0">
            <wp:extent cx="5285871" cy="252000"/>
            <wp:effectExtent l="19050" t="0" r="0" b="0"/>
            <wp:docPr id="2" name="Bilde 13" descr="Skjermbrev NR - 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Skjermbrev NR - mal"/>
                    <pic:cNvPicPr>
                      <a:picLocks noChangeAspect="1" noChangeArrowheads="1"/>
                    </pic:cNvPicPr>
                  </pic:nvPicPr>
                  <pic:blipFill>
                    <a:blip r:embed="rId7" r:link="rId8" cstate="print"/>
                    <a:srcRect/>
                    <a:stretch>
                      <a:fillRect/>
                    </a:stretch>
                  </pic:blipFill>
                  <pic:spPr bwMode="auto">
                    <a:xfrm>
                      <a:off x="0" y="0"/>
                      <a:ext cx="5285871" cy="252000"/>
                    </a:xfrm>
                    <a:prstGeom prst="rect">
                      <a:avLst/>
                    </a:prstGeom>
                    <a:noFill/>
                    <a:ln w="9525">
                      <a:noFill/>
                      <a:miter lim="800000"/>
                      <a:headEnd/>
                      <a:tailEnd/>
                    </a:ln>
                  </pic:spPr>
                </pic:pic>
              </a:graphicData>
            </a:graphic>
          </wp:inline>
        </w:drawing>
      </w:r>
    </w:p>
    <w:p w:rsidR="009037B6" w:rsidRPr="009037B6" w:rsidRDefault="009037B6" w:rsidP="009037B6">
      <w:pPr>
        <w:spacing w:after="0" w:line="240" w:lineRule="auto"/>
        <w:rPr>
          <w:rFonts w:ascii="Calibri" w:hAnsi="Calibri" w:cs="Calibri"/>
          <w:color w:val="1F497D"/>
          <w:lang w:eastAsia="nb-NO"/>
        </w:rPr>
      </w:pPr>
    </w:p>
    <w:p w:rsidR="009037B6" w:rsidRPr="009037B6" w:rsidRDefault="009037B6" w:rsidP="009037B6">
      <w:pPr>
        <w:spacing w:after="0" w:line="240" w:lineRule="auto"/>
        <w:rPr>
          <w:rFonts w:ascii="Arial" w:hAnsi="Arial" w:cs="Arial"/>
          <w:sz w:val="24"/>
          <w:szCs w:val="24"/>
          <w:lang w:eastAsia="nb-NO"/>
        </w:rPr>
      </w:pPr>
      <w:r w:rsidRPr="009037B6">
        <w:rPr>
          <w:rFonts w:ascii="Arial" w:hAnsi="Arial" w:cs="Arial"/>
          <w:sz w:val="24"/>
          <w:szCs w:val="24"/>
          <w:lang w:eastAsia="nb-NO"/>
        </w:rPr>
        <w:t xml:space="preserve">Til alle </w:t>
      </w:r>
      <w:proofErr w:type="spellStart"/>
      <w:r w:rsidRPr="009037B6">
        <w:rPr>
          <w:rFonts w:ascii="Arial" w:hAnsi="Arial" w:cs="Arial"/>
          <w:sz w:val="24"/>
          <w:szCs w:val="24"/>
          <w:lang w:eastAsia="nb-NO"/>
        </w:rPr>
        <w:t>NRs</w:t>
      </w:r>
      <w:proofErr w:type="spellEnd"/>
      <w:r w:rsidRPr="009037B6">
        <w:rPr>
          <w:rFonts w:ascii="Arial" w:hAnsi="Arial" w:cs="Arial"/>
          <w:sz w:val="24"/>
          <w:szCs w:val="24"/>
          <w:lang w:eastAsia="nb-NO"/>
        </w:rPr>
        <w:t xml:space="preserve"> medlemmer</w:t>
      </w:r>
    </w:p>
    <w:p w:rsidR="009037B6" w:rsidRPr="009037B6" w:rsidRDefault="009037B6" w:rsidP="009037B6">
      <w:pPr>
        <w:spacing w:after="0" w:line="240" w:lineRule="auto"/>
        <w:rPr>
          <w:rFonts w:ascii="Calibri" w:hAnsi="Calibri" w:cs="Calibri"/>
          <w:color w:val="1F497D"/>
          <w:lang w:eastAsia="nb-NO"/>
        </w:rPr>
      </w:pPr>
    </w:p>
    <w:p w:rsidR="009037B6" w:rsidRPr="009037B6" w:rsidRDefault="009037B6" w:rsidP="009037B6">
      <w:pPr>
        <w:spacing w:after="0" w:line="240" w:lineRule="auto"/>
        <w:rPr>
          <w:rFonts w:ascii="Bookman Old Style" w:hAnsi="Bookman Old Style" w:cs="Calibri"/>
          <w:sz w:val="32"/>
          <w:szCs w:val="32"/>
          <w:lang w:eastAsia="nb-NO"/>
        </w:rPr>
      </w:pPr>
      <w:r w:rsidRPr="009037B6">
        <w:rPr>
          <w:rFonts w:ascii="Bookman Old Style" w:hAnsi="Bookman Old Style" w:cs="Calibri"/>
          <w:sz w:val="32"/>
          <w:szCs w:val="32"/>
          <w:lang w:eastAsia="nb-NO"/>
        </w:rPr>
        <w:t>Tilgang til og bruk av årets skattelister – en orientering</w:t>
      </w:r>
    </w:p>
    <w:p w:rsidR="009037B6" w:rsidRPr="009037B6" w:rsidRDefault="009037B6" w:rsidP="009037B6">
      <w:pPr>
        <w:spacing w:after="0" w:line="240" w:lineRule="auto"/>
        <w:rPr>
          <w:rFonts w:ascii="Calibri" w:hAnsi="Calibri" w:cs="Calibri"/>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Som de fleste av dere vil være kjent med, og som vi har orientert om i Nyhetsbrev og gjennom egne meldinger, er det fra og med i år (ligningen for 2010) gjort endringer i </w:t>
      </w:r>
      <w:hyperlink r:id="rId9" w:anchor="8-8" w:history="1">
        <w:r w:rsidRPr="009037B6">
          <w:rPr>
            <w:rFonts w:ascii="Arial" w:hAnsi="Arial" w:cs="Arial"/>
            <w:color w:val="0000FF"/>
            <w:sz w:val="18"/>
            <w:szCs w:val="18"/>
            <w:u w:val="single"/>
            <w:lang w:eastAsia="nb-NO"/>
          </w:rPr>
          <w:t>ligningslovens</w:t>
        </w:r>
        <w:proofErr w:type="gramStart"/>
        <w:r w:rsidRPr="009037B6">
          <w:rPr>
            <w:rFonts w:ascii="Arial" w:hAnsi="Arial" w:cs="Arial"/>
            <w:color w:val="0000FF"/>
            <w:sz w:val="18"/>
            <w:szCs w:val="18"/>
            <w:u w:val="single"/>
            <w:lang w:eastAsia="nb-NO"/>
          </w:rPr>
          <w:t xml:space="preserve"> §8</w:t>
        </w:r>
        <w:proofErr w:type="gramEnd"/>
        <w:r w:rsidRPr="009037B6">
          <w:rPr>
            <w:rFonts w:ascii="Arial" w:hAnsi="Arial" w:cs="Arial"/>
            <w:color w:val="0000FF"/>
            <w:sz w:val="18"/>
            <w:szCs w:val="18"/>
            <w:u w:val="single"/>
            <w:lang w:eastAsia="nb-NO"/>
          </w:rPr>
          <w:t>-8</w:t>
        </w:r>
      </w:hyperlink>
      <w:r w:rsidRPr="009037B6">
        <w:rPr>
          <w:rFonts w:ascii="Arial" w:hAnsi="Arial" w:cs="Arial"/>
          <w:sz w:val="18"/>
          <w:szCs w:val="18"/>
          <w:lang w:eastAsia="nb-NO"/>
        </w:rPr>
        <w:t>, om tilgang til skattelistene.</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Endringene innebærer visse restriksjoner på medienes adgang til å publisere data fra skattelistene. Disse vil bli redegjort nærmere i denne </w:t>
      </w:r>
      <w:proofErr w:type="spellStart"/>
      <w:r w:rsidRPr="009037B6">
        <w:rPr>
          <w:rFonts w:ascii="Arial" w:hAnsi="Arial" w:cs="Arial"/>
          <w:sz w:val="18"/>
          <w:szCs w:val="18"/>
          <w:lang w:eastAsia="nb-NO"/>
        </w:rPr>
        <w:t>eposten</w:t>
      </w:r>
      <w:proofErr w:type="spellEnd"/>
      <w:r w:rsidRPr="009037B6">
        <w:rPr>
          <w:rFonts w:ascii="Arial" w:hAnsi="Arial" w:cs="Arial"/>
          <w:sz w:val="18"/>
          <w:szCs w:val="18"/>
          <w:lang w:eastAsia="nb-NO"/>
        </w:rPr>
        <w:t xml:space="preserve">. </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For å få tilgang til skattelistene, må den enkelte redaksjon – ved ansvarlig redaktør – undertegne en avtale om ikke å publisere hele eller deler av listen i søkbar form på internett eller på annen måte. Sammen med de andre presseorganisasjonene har Norsk Redaktørforening, gjennom høringsuttalelser, høringsmøter i Stortinget og på annen måte, protestert på prinsipielt grunnlag mot en slik ordning. Vi har også undersøkt muligheten for </w:t>
      </w:r>
      <w:proofErr w:type="gramStart"/>
      <w:r w:rsidRPr="009037B6">
        <w:rPr>
          <w:rFonts w:ascii="Arial" w:hAnsi="Arial" w:cs="Arial"/>
          <w:sz w:val="18"/>
          <w:szCs w:val="18"/>
          <w:lang w:eastAsia="nb-NO"/>
        </w:rPr>
        <w:t>å</w:t>
      </w:r>
      <w:proofErr w:type="gramEnd"/>
      <w:r w:rsidRPr="009037B6">
        <w:rPr>
          <w:rFonts w:ascii="Arial" w:hAnsi="Arial" w:cs="Arial"/>
          <w:sz w:val="18"/>
          <w:szCs w:val="18"/>
          <w:lang w:eastAsia="nb-NO"/>
        </w:rPr>
        <w:t xml:space="preserve"> </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angripe lovendringen juridisk, blant annet med </w:t>
      </w:r>
      <w:proofErr w:type="spellStart"/>
      <w:r w:rsidRPr="009037B6">
        <w:rPr>
          <w:rFonts w:ascii="Arial" w:hAnsi="Arial" w:cs="Arial"/>
          <w:sz w:val="18"/>
          <w:szCs w:val="18"/>
          <w:lang w:eastAsia="nb-NO"/>
        </w:rPr>
        <w:t>offentleglovas</w:t>
      </w:r>
      <w:proofErr w:type="spellEnd"/>
      <w:proofErr w:type="gramStart"/>
      <w:r w:rsidRPr="009037B6">
        <w:rPr>
          <w:rFonts w:ascii="Arial" w:hAnsi="Arial" w:cs="Arial"/>
          <w:sz w:val="18"/>
          <w:szCs w:val="18"/>
          <w:lang w:eastAsia="nb-NO"/>
        </w:rPr>
        <w:t xml:space="preserve"> §6</w:t>
      </w:r>
      <w:proofErr w:type="gramEnd"/>
      <w:r w:rsidRPr="009037B6">
        <w:rPr>
          <w:rFonts w:ascii="Arial" w:hAnsi="Arial" w:cs="Arial"/>
          <w:sz w:val="18"/>
          <w:szCs w:val="18"/>
          <w:lang w:eastAsia="nb-NO"/>
        </w:rPr>
        <w:t xml:space="preserve"> om forbud mot forskjellsbehandling som bakteppe. De tilbakemeldinger vi har fått tilsier imidlertid at dette neppe er noen farbar vei. Dermed står den enkelte</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redaksjon tilbake med valget om enten å takke nei til å undertegne avtalen, og dermed ikke få tilgang til listene, eller å undertegne og dermed forplikte seg til å følge de begrensninger i publiseringsadgangen som følger av</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avtalen. I siste runde har NR blitt bedt om å komme med innspill til selve avtaleteksten. Med det klare forbehold at slike innspill ikke innebærer noen form for ”godkjenning” av ordningen, har vi gitt til kjenne vårt syn på</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enkelte punkter – og fått gjennomslag for disse. Det har – etter vårt syn – gjort den endelige avtalen bedre enn Skattedirektoratets første utkast.</w:t>
      </w:r>
    </w:p>
    <w:p w:rsidR="009037B6" w:rsidRPr="009037B6" w:rsidRDefault="009037B6" w:rsidP="009037B6">
      <w:pPr>
        <w:spacing w:after="0" w:line="240" w:lineRule="auto"/>
        <w:rPr>
          <w:rFonts w:ascii="Arial" w:hAnsi="Arial" w:cs="Arial"/>
          <w:color w:val="1F497D"/>
          <w:sz w:val="18"/>
          <w:szCs w:val="18"/>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NB! Vi understreker at restriksjonene på publisering gjelder listen for </w:t>
      </w:r>
      <w:r w:rsidRPr="009037B6">
        <w:rPr>
          <w:rFonts w:ascii="Arial" w:hAnsi="Arial" w:cs="Arial"/>
          <w:sz w:val="18"/>
          <w:szCs w:val="18"/>
          <w:u w:val="single"/>
          <w:lang w:eastAsia="nb-NO"/>
        </w:rPr>
        <w:t>personlige skatteytere</w:t>
      </w:r>
      <w:r w:rsidRPr="009037B6">
        <w:rPr>
          <w:rFonts w:ascii="Arial" w:hAnsi="Arial" w:cs="Arial"/>
          <w:sz w:val="18"/>
          <w:szCs w:val="18"/>
          <w:lang w:eastAsia="nb-NO"/>
        </w:rPr>
        <w:t xml:space="preserve">. Listen over </w:t>
      </w:r>
      <w:r w:rsidRPr="009037B6">
        <w:rPr>
          <w:rFonts w:ascii="Arial" w:hAnsi="Arial" w:cs="Arial"/>
          <w:sz w:val="18"/>
          <w:szCs w:val="18"/>
          <w:u w:val="single"/>
          <w:lang w:eastAsia="nb-NO"/>
        </w:rPr>
        <w:t>upersonlige skatteytere</w:t>
      </w:r>
      <w:r w:rsidRPr="009037B6">
        <w:rPr>
          <w:rFonts w:ascii="Arial" w:hAnsi="Arial" w:cs="Arial"/>
          <w:sz w:val="18"/>
          <w:szCs w:val="18"/>
          <w:lang w:eastAsia="nb-NO"/>
        </w:rPr>
        <w:t xml:space="preserve"> (</w:t>
      </w:r>
      <w:proofErr w:type="spellStart"/>
      <w:r w:rsidRPr="009037B6">
        <w:rPr>
          <w:rFonts w:ascii="Arial" w:hAnsi="Arial" w:cs="Arial"/>
          <w:sz w:val="18"/>
          <w:szCs w:val="18"/>
          <w:lang w:eastAsia="nb-NO"/>
        </w:rPr>
        <w:t>dvs</w:t>
      </w:r>
      <w:proofErr w:type="spellEnd"/>
      <w:r w:rsidRPr="009037B6">
        <w:rPr>
          <w:rFonts w:ascii="Arial" w:hAnsi="Arial" w:cs="Arial"/>
          <w:sz w:val="18"/>
          <w:szCs w:val="18"/>
          <w:lang w:eastAsia="nb-NO"/>
        </w:rPr>
        <w:t xml:space="preserve"> firmaer, stiftelser og lignende) kan fortsatt publiseres i sin helhet og i søkbar form.</w:t>
      </w:r>
    </w:p>
    <w:p w:rsidR="009037B6" w:rsidRPr="009037B6" w:rsidRDefault="009037B6" w:rsidP="009037B6">
      <w:pPr>
        <w:spacing w:after="0" w:line="240" w:lineRule="auto"/>
        <w:rPr>
          <w:rFonts w:ascii="Calibri" w:hAnsi="Calibri" w:cs="Calibri"/>
          <w:color w:val="1F497D"/>
          <w:sz w:val="18"/>
          <w:szCs w:val="18"/>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Vi legger ved avtalen slik den nå er utformet, samt veiledningen fra Skattedirektoratet. </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numPr>
          <w:ilvl w:val="0"/>
          <w:numId w:val="1"/>
        </w:numPr>
        <w:spacing w:after="0" w:line="240" w:lineRule="auto"/>
        <w:rPr>
          <w:rFonts w:ascii="Arial" w:hAnsi="Arial" w:cs="Arial"/>
          <w:sz w:val="18"/>
          <w:szCs w:val="18"/>
          <w:lang w:eastAsia="nb-NO"/>
        </w:rPr>
      </w:pPr>
      <w:r w:rsidRPr="009037B6">
        <w:rPr>
          <w:rFonts w:ascii="Arial" w:hAnsi="Arial" w:cs="Arial"/>
          <w:sz w:val="18"/>
          <w:szCs w:val="18"/>
          <w:lang w:eastAsia="nb-NO"/>
        </w:rPr>
        <w:t xml:space="preserve">Fra og med tirsdag 13. september vil det bli anledning for redaksjonene å bestille tilgang til skattelistene. Redaksjoner som tidligere har bestilt tilgang, vil – slik vi har forstått det – få en </w:t>
      </w:r>
      <w:proofErr w:type="spellStart"/>
      <w:r w:rsidRPr="009037B6">
        <w:rPr>
          <w:rFonts w:ascii="Arial" w:hAnsi="Arial" w:cs="Arial"/>
          <w:sz w:val="18"/>
          <w:szCs w:val="18"/>
          <w:lang w:eastAsia="nb-NO"/>
        </w:rPr>
        <w:t>epostmelding</w:t>
      </w:r>
      <w:proofErr w:type="spellEnd"/>
      <w:r w:rsidRPr="009037B6">
        <w:rPr>
          <w:rFonts w:ascii="Arial" w:hAnsi="Arial" w:cs="Arial"/>
          <w:sz w:val="18"/>
          <w:szCs w:val="18"/>
          <w:lang w:eastAsia="nb-NO"/>
        </w:rPr>
        <w:t xml:space="preserve"> med informasjon</w:t>
      </w:r>
    </w:p>
    <w:p w:rsidR="009037B6" w:rsidRPr="009037B6" w:rsidRDefault="009037B6" w:rsidP="009037B6">
      <w:pPr>
        <w:spacing w:after="0" w:line="240" w:lineRule="auto"/>
        <w:ind w:left="1080"/>
        <w:rPr>
          <w:rFonts w:ascii="Arial" w:hAnsi="Arial" w:cs="Arial"/>
          <w:sz w:val="18"/>
          <w:szCs w:val="18"/>
          <w:u w:val="single"/>
          <w:lang w:eastAsia="nb-NO"/>
        </w:rPr>
      </w:pPr>
      <w:proofErr w:type="gramStart"/>
      <w:r w:rsidRPr="009037B6">
        <w:rPr>
          <w:rFonts w:ascii="Arial" w:hAnsi="Arial" w:cs="Arial"/>
          <w:sz w:val="18"/>
          <w:szCs w:val="18"/>
          <w:lang w:eastAsia="nb-NO"/>
        </w:rPr>
        <w:t>om dette.</w:t>
      </w:r>
      <w:proofErr w:type="gramEnd"/>
      <w:r w:rsidRPr="009037B6">
        <w:rPr>
          <w:rFonts w:ascii="Arial" w:hAnsi="Arial" w:cs="Arial"/>
          <w:sz w:val="18"/>
          <w:szCs w:val="18"/>
          <w:lang w:eastAsia="nb-NO"/>
        </w:rPr>
        <w:t xml:space="preserve"> Hvis ikke er det altså </w:t>
      </w:r>
      <w:hyperlink r:id="rId10" w:history="1">
        <w:r w:rsidRPr="009037B6">
          <w:rPr>
            <w:rFonts w:ascii="Arial" w:hAnsi="Arial" w:cs="Arial"/>
            <w:color w:val="0000FF"/>
            <w:sz w:val="18"/>
            <w:szCs w:val="18"/>
            <w:u w:val="single"/>
            <w:lang w:eastAsia="nb-NO"/>
          </w:rPr>
          <w:t>skatteetatens hjemmesider</w:t>
        </w:r>
      </w:hyperlink>
      <w:r w:rsidRPr="009037B6">
        <w:rPr>
          <w:rFonts w:ascii="Arial" w:hAnsi="Arial" w:cs="Arial"/>
          <w:sz w:val="18"/>
          <w:szCs w:val="18"/>
          <w:lang w:eastAsia="nb-NO"/>
        </w:rPr>
        <w:t xml:space="preserve"> som er rette sted å henvende seg. Tilgangen til listene vil bli åpnet </w:t>
      </w:r>
      <w:r w:rsidRPr="009037B6">
        <w:rPr>
          <w:rFonts w:ascii="Arial" w:hAnsi="Arial" w:cs="Arial"/>
          <w:sz w:val="18"/>
          <w:szCs w:val="18"/>
          <w:u w:val="single"/>
          <w:lang w:eastAsia="nb-NO"/>
        </w:rPr>
        <w:t>kl 03.00 natt til fredag 21. oktober.</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numPr>
          <w:ilvl w:val="0"/>
          <w:numId w:val="1"/>
        </w:numPr>
        <w:spacing w:after="0" w:line="240" w:lineRule="auto"/>
        <w:rPr>
          <w:rFonts w:ascii="Arial" w:hAnsi="Arial" w:cs="Arial"/>
          <w:sz w:val="18"/>
          <w:szCs w:val="18"/>
          <w:lang w:eastAsia="nb-NO"/>
        </w:rPr>
      </w:pPr>
      <w:r w:rsidRPr="009037B6">
        <w:rPr>
          <w:rFonts w:ascii="Arial" w:hAnsi="Arial" w:cs="Arial"/>
          <w:sz w:val="18"/>
          <w:szCs w:val="18"/>
          <w:lang w:eastAsia="nb-NO"/>
        </w:rPr>
        <w:t xml:space="preserve">Som det vil fremgå av vedlagte er det altså publisering av ” hele eller deler av skattelisten for personlige skattytere i søkbar form på Internett eller på annen måte” som ikke lenger vil være tillatt. Komplette skattelister </w:t>
      </w:r>
    </w:p>
    <w:p w:rsidR="009037B6" w:rsidRPr="009037B6" w:rsidRDefault="009037B6" w:rsidP="009037B6">
      <w:pPr>
        <w:spacing w:after="0" w:line="240" w:lineRule="auto"/>
        <w:ind w:left="1080"/>
        <w:rPr>
          <w:rFonts w:ascii="Arial" w:hAnsi="Arial" w:cs="Arial"/>
          <w:sz w:val="18"/>
          <w:szCs w:val="18"/>
          <w:lang w:eastAsia="nb-NO"/>
        </w:rPr>
      </w:pPr>
      <w:r w:rsidRPr="009037B6">
        <w:rPr>
          <w:rFonts w:ascii="Arial" w:hAnsi="Arial" w:cs="Arial"/>
          <w:sz w:val="18"/>
          <w:szCs w:val="18"/>
          <w:lang w:eastAsia="nb-NO"/>
        </w:rPr>
        <w:t xml:space="preserve">vil fra og med i år kun være tilgjengelig på skatteetatens hjemmesider, og da i søkbar form. Listene vil ligge ute i ett år, inntil listen for ligningsåret 2011 publiseres. For å kunne søke i den komplette skattelisten vil man måtte logge seg inn via </w:t>
      </w:r>
      <w:hyperlink r:id="rId11" w:history="1">
        <w:proofErr w:type="spellStart"/>
        <w:r w:rsidRPr="009037B6">
          <w:rPr>
            <w:rFonts w:ascii="Arial" w:hAnsi="Arial" w:cs="Arial"/>
            <w:color w:val="0000FF"/>
            <w:sz w:val="18"/>
            <w:szCs w:val="18"/>
            <w:u w:val="single"/>
            <w:lang w:eastAsia="nb-NO"/>
          </w:rPr>
          <w:t>MinId</w:t>
        </w:r>
        <w:proofErr w:type="spellEnd"/>
        <w:r w:rsidRPr="009037B6">
          <w:rPr>
            <w:rFonts w:ascii="Arial" w:hAnsi="Arial" w:cs="Arial"/>
            <w:color w:val="0000FF"/>
            <w:sz w:val="18"/>
            <w:szCs w:val="18"/>
            <w:u w:val="single"/>
            <w:lang w:eastAsia="nb-NO"/>
          </w:rPr>
          <w:t>.</w:t>
        </w:r>
      </w:hyperlink>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numPr>
          <w:ilvl w:val="0"/>
          <w:numId w:val="1"/>
        </w:numPr>
        <w:spacing w:after="0" w:line="240" w:lineRule="auto"/>
        <w:rPr>
          <w:rFonts w:ascii="Arial" w:hAnsi="Arial" w:cs="Arial"/>
          <w:sz w:val="18"/>
          <w:szCs w:val="18"/>
          <w:lang w:eastAsia="nb-NO"/>
        </w:rPr>
      </w:pPr>
      <w:r w:rsidRPr="009037B6">
        <w:rPr>
          <w:rFonts w:ascii="Arial" w:hAnsi="Arial" w:cs="Arial"/>
          <w:sz w:val="18"/>
          <w:szCs w:val="18"/>
          <w:lang w:eastAsia="nb-NO"/>
        </w:rPr>
        <w:t>Medier som oppfyller kriteriene for lov om redaksjonell fridom i media, vil kunne få elektronisk tilgang til komplette skattelister – slik vi har hatt de siste årene</w:t>
      </w:r>
      <w:r w:rsidRPr="009037B6">
        <w:rPr>
          <w:rFonts w:ascii="Arial" w:hAnsi="Arial" w:cs="Arial"/>
          <w:color w:val="1F497D"/>
          <w:sz w:val="18"/>
          <w:szCs w:val="18"/>
          <w:lang w:eastAsia="nb-NO"/>
        </w:rPr>
        <w:t xml:space="preserve"> –</w:t>
      </w:r>
      <w:r w:rsidRPr="009037B6">
        <w:rPr>
          <w:rFonts w:ascii="Arial" w:hAnsi="Arial" w:cs="Arial"/>
          <w:sz w:val="18"/>
          <w:szCs w:val="18"/>
          <w:lang w:eastAsia="nb-NO"/>
        </w:rPr>
        <w:t xml:space="preserve"> til journalistisk bruk. Etter det vi har fått opplyst vil det heller ikke blir gjort endringer i filformatene fra i fjor. Det innebærer at de redaksjoner som har hatt tilgang til </w:t>
      </w:r>
      <w:proofErr w:type="spellStart"/>
      <w:r w:rsidRPr="009037B6">
        <w:rPr>
          <w:rFonts w:ascii="Arial" w:hAnsi="Arial" w:cs="Arial"/>
          <w:sz w:val="18"/>
          <w:szCs w:val="18"/>
          <w:lang w:eastAsia="nb-NO"/>
        </w:rPr>
        <w:t>NRs</w:t>
      </w:r>
      <w:proofErr w:type="spellEnd"/>
      <w:r w:rsidRPr="009037B6">
        <w:rPr>
          <w:rFonts w:ascii="Arial" w:hAnsi="Arial" w:cs="Arial"/>
          <w:sz w:val="18"/>
          <w:szCs w:val="18"/>
          <w:lang w:eastAsia="nb-NO"/>
        </w:rPr>
        <w:t xml:space="preserve"> programvare for behandling av ligningsopplysninger – </w:t>
      </w:r>
      <w:proofErr w:type="spellStart"/>
      <w:r w:rsidRPr="009037B6">
        <w:rPr>
          <w:rFonts w:ascii="Arial" w:hAnsi="Arial" w:cs="Arial"/>
          <w:sz w:val="18"/>
          <w:szCs w:val="18"/>
          <w:lang w:eastAsia="nb-NO"/>
        </w:rPr>
        <w:t>Taxy</w:t>
      </w:r>
      <w:proofErr w:type="spellEnd"/>
      <w:r w:rsidRPr="009037B6">
        <w:rPr>
          <w:rFonts w:ascii="Arial" w:hAnsi="Arial" w:cs="Arial"/>
          <w:sz w:val="18"/>
          <w:szCs w:val="18"/>
          <w:lang w:eastAsia="nb-NO"/>
        </w:rPr>
        <w:t xml:space="preserve"> – vil kunne bruke dette også i år. Vi vil forsøke – i god tid før tilgangen åpnes – å få kjørt en test på at programvaren </w:t>
      </w:r>
      <w:proofErr w:type="spellStart"/>
      <w:r w:rsidRPr="009037B6">
        <w:rPr>
          <w:rFonts w:ascii="Arial" w:hAnsi="Arial" w:cs="Arial"/>
          <w:sz w:val="18"/>
          <w:szCs w:val="18"/>
          <w:lang w:eastAsia="nb-NO"/>
        </w:rPr>
        <w:t>Taxy</w:t>
      </w:r>
      <w:proofErr w:type="spellEnd"/>
      <w:r w:rsidRPr="009037B6">
        <w:rPr>
          <w:rFonts w:ascii="Arial" w:hAnsi="Arial" w:cs="Arial"/>
          <w:sz w:val="18"/>
          <w:szCs w:val="18"/>
          <w:lang w:eastAsia="nb-NO"/>
        </w:rPr>
        <w:t xml:space="preserve"> fungerer også på årets datafiler.</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numPr>
          <w:ilvl w:val="0"/>
          <w:numId w:val="1"/>
        </w:numPr>
        <w:spacing w:after="0" w:line="240" w:lineRule="auto"/>
        <w:rPr>
          <w:rFonts w:ascii="Arial" w:hAnsi="Arial" w:cs="Arial"/>
          <w:sz w:val="18"/>
          <w:szCs w:val="18"/>
          <w:lang w:eastAsia="nb-NO"/>
        </w:rPr>
      </w:pPr>
      <w:r w:rsidRPr="009037B6">
        <w:rPr>
          <w:rFonts w:ascii="Arial" w:hAnsi="Arial" w:cs="Arial"/>
          <w:sz w:val="18"/>
          <w:szCs w:val="18"/>
          <w:lang w:eastAsia="nb-NO"/>
        </w:rPr>
        <w:t xml:space="preserve">Vi gjør ellers oppmerksom på et par mindre endringer med hensyn til </w:t>
      </w:r>
      <w:proofErr w:type="gramStart"/>
      <w:r w:rsidRPr="009037B6">
        <w:rPr>
          <w:rFonts w:ascii="Arial" w:hAnsi="Arial" w:cs="Arial"/>
          <w:sz w:val="18"/>
          <w:szCs w:val="18"/>
          <w:lang w:eastAsia="nb-NO"/>
        </w:rPr>
        <w:t>hvilket opplysninger</w:t>
      </w:r>
      <w:proofErr w:type="gramEnd"/>
      <w:r w:rsidRPr="009037B6">
        <w:rPr>
          <w:rFonts w:ascii="Arial" w:hAnsi="Arial" w:cs="Arial"/>
          <w:sz w:val="18"/>
          <w:szCs w:val="18"/>
          <w:lang w:eastAsia="nb-NO"/>
        </w:rPr>
        <w:t xml:space="preserve"> listene inneholder. Nytt av året er det at døde personer, samt personer under 18 år er tatt ut av listene. Dette kommer da</w:t>
      </w:r>
    </w:p>
    <w:p w:rsidR="009037B6" w:rsidRPr="009037B6" w:rsidRDefault="009037B6" w:rsidP="009037B6">
      <w:pPr>
        <w:spacing w:after="0" w:line="240" w:lineRule="auto"/>
        <w:ind w:left="1080"/>
        <w:rPr>
          <w:rFonts w:ascii="Arial" w:hAnsi="Arial" w:cs="Arial"/>
          <w:sz w:val="18"/>
          <w:szCs w:val="18"/>
          <w:lang w:eastAsia="nb-NO"/>
        </w:rPr>
      </w:pPr>
      <w:r w:rsidRPr="009037B6">
        <w:rPr>
          <w:rFonts w:ascii="Arial" w:hAnsi="Arial" w:cs="Arial"/>
          <w:sz w:val="18"/>
          <w:szCs w:val="18"/>
          <w:lang w:eastAsia="nb-NO"/>
        </w:rPr>
        <w:t xml:space="preserve">i tillegg til at vi – som før – heller ikke får opplysninger om personer med hemmelig adresse med på listene. </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numPr>
          <w:ilvl w:val="0"/>
          <w:numId w:val="1"/>
        </w:numPr>
        <w:spacing w:after="0" w:line="240" w:lineRule="auto"/>
        <w:rPr>
          <w:rFonts w:ascii="Arial" w:hAnsi="Arial" w:cs="Arial"/>
          <w:i/>
          <w:iCs/>
          <w:sz w:val="18"/>
          <w:szCs w:val="18"/>
          <w:lang w:eastAsia="nb-NO"/>
        </w:rPr>
      </w:pPr>
      <w:r w:rsidRPr="009037B6">
        <w:rPr>
          <w:rFonts w:ascii="Arial" w:hAnsi="Arial" w:cs="Arial"/>
          <w:sz w:val="18"/>
          <w:szCs w:val="18"/>
          <w:lang w:eastAsia="nb-NO"/>
        </w:rPr>
        <w:t xml:space="preserve">Restriksjonene på publisering av listene innebærer ingen begrensninger på vanlig journalistisk bruk og publisering av skatteopplysninger. Det fremgår av finanskomiteens merknader (flertallet) til lovendringen at </w:t>
      </w:r>
    </w:p>
    <w:p w:rsidR="009037B6" w:rsidRPr="009037B6" w:rsidRDefault="009037B6" w:rsidP="009037B6">
      <w:pPr>
        <w:spacing w:after="0" w:line="240" w:lineRule="auto"/>
        <w:ind w:left="1080"/>
        <w:rPr>
          <w:rFonts w:ascii="Arial" w:hAnsi="Arial" w:cs="Arial"/>
          <w:i/>
          <w:iCs/>
          <w:sz w:val="18"/>
          <w:szCs w:val="18"/>
          <w:lang w:eastAsia="nb-NO"/>
        </w:rPr>
      </w:pPr>
      <w:r w:rsidRPr="009037B6">
        <w:rPr>
          <w:rFonts w:ascii="Arial" w:hAnsi="Arial" w:cs="Arial"/>
          <w:i/>
          <w:iCs/>
          <w:sz w:val="18"/>
          <w:szCs w:val="18"/>
          <w:lang w:eastAsia="nb-NO"/>
        </w:rPr>
        <w:t xml:space="preserve">”F l e r t a l </w:t>
      </w:r>
      <w:proofErr w:type="spellStart"/>
      <w:r w:rsidRPr="009037B6">
        <w:rPr>
          <w:rFonts w:ascii="Arial" w:hAnsi="Arial" w:cs="Arial"/>
          <w:i/>
          <w:iCs/>
          <w:sz w:val="18"/>
          <w:szCs w:val="18"/>
          <w:lang w:eastAsia="nb-NO"/>
        </w:rPr>
        <w:t>l</w:t>
      </w:r>
      <w:proofErr w:type="spellEnd"/>
      <w:r w:rsidRPr="009037B6">
        <w:rPr>
          <w:rFonts w:ascii="Arial" w:hAnsi="Arial" w:cs="Arial"/>
          <w:i/>
          <w:iCs/>
          <w:sz w:val="18"/>
          <w:szCs w:val="18"/>
          <w:lang w:eastAsia="nb-NO"/>
        </w:rPr>
        <w:t xml:space="preserve"> e t har merket seg høringsinnspillene fra Norsk Presseforbund og Norsk Redaktørforening og mener at forslaget til endring i ligningsloven § 8-8 nr. 4 ikke skal forstås slik at man legger journalistiske begrensninger. Begrensningene er ment i forhold til publisering på internett eller overlevering av hele eller deler av listen til andre. Det skal være slik at pressen kan </w:t>
      </w:r>
      <w:r w:rsidRPr="009037B6">
        <w:rPr>
          <w:rFonts w:ascii="Arial" w:hAnsi="Arial" w:cs="Arial"/>
          <w:i/>
          <w:iCs/>
          <w:sz w:val="18"/>
          <w:szCs w:val="18"/>
          <w:lang w:eastAsia="nb-NO"/>
        </w:rPr>
        <w:lastRenderedPageBreak/>
        <w:t>plukke ut personer fra listene for å lage saker som ivaretar pressens rolle som en samfunnskritisk aktør ovenfor myndighetene og samfunnsutvikling. Det betyr at lister over kommunenes ti rikeste, folkevalgtes inntekt, osv. skal også i framtiden være mulig å publisere.”</w:t>
      </w:r>
    </w:p>
    <w:p w:rsidR="009037B6" w:rsidRPr="009037B6" w:rsidRDefault="009037B6" w:rsidP="009037B6">
      <w:pPr>
        <w:spacing w:after="0" w:line="240" w:lineRule="auto"/>
        <w:ind w:left="1080"/>
        <w:rPr>
          <w:rFonts w:ascii="Arial" w:hAnsi="Arial" w:cs="Arial"/>
          <w:sz w:val="18"/>
          <w:szCs w:val="18"/>
          <w:lang w:eastAsia="nb-NO"/>
        </w:rPr>
      </w:pPr>
      <w:r w:rsidRPr="009037B6">
        <w:rPr>
          <w:rFonts w:ascii="Arial" w:hAnsi="Arial" w:cs="Arial"/>
          <w:sz w:val="18"/>
          <w:szCs w:val="18"/>
          <w:lang w:eastAsia="nb-NO"/>
        </w:rPr>
        <w:t>I praksis innebærer dette at oversikter, tabeller, lister og lignende, som er utarbeidet ut fra journalistiske kriterier, vil være tillatt å publisere – på nett og på papir. At man ved slik publisering gjør navnet på ulike personer</w:t>
      </w:r>
    </w:p>
    <w:p w:rsidR="009037B6" w:rsidRPr="009037B6" w:rsidRDefault="009037B6" w:rsidP="009037B6">
      <w:pPr>
        <w:spacing w:after="0" w:line="240" w:lineRule="auto"/>
        <w:ind w:left="1080"/>
        <w:rPr>
          <w:rFonts w:ascii="Arial" w:hAnsi="Arial" w:cs="Arial"/>
          <w:sz w:val="18"/>
          <w:szCs w:val="18"/>
          <w:lang w:eastAsia="nb-NO"/>
        </w:rPr>
      </w:pPr>
      <w:r w:rsidRPr="009037B6">
        <w:rPr>
          <w:rFonts w:ascii="Arial" w:hAnsi="Arial" w:cs="Arial"/>
          <w:sz w:val="18"/>
          <w:szCs w:val="18"/>
          <w:lang w:eastAsia="nb-NO"/>
        </w:rPr>
        <w:t xml:space="preserve">”søkbare”, på den måten at de gir treff ved bruk av søkemotorer på det aktuelle nettstedet, eller ved generelle </w:t>
      </w:r>
      <w:proofErr w:type="spellStart"/>
      <w:r w:rsidRPr="009037B6">
        <w:rPr>
          <w:rFonts w:ascii="Arial" w:hAnsi="Arial" w:cs="Arial"/>
          <w:sz w:val="18"/>
          <w:szCs w:val="18"/>
          <w:lang w:eastAsia="nb-NO"/>
        </w:rPr>
        <w:t>nettsøk</w:t>
      </w:r>
      <w:proofErr w:type="spellEnd"/>
      <w:r w:rsidRPr="009037B6">
        <w:rPr>
          <w:rFonts w:ascii="Arial" w:hAnsi="Arial" w:cs="Arial"/>
          <w:sz w:val="18"/>
          <w:szCs w:val="18"/>
          <w:lang w:eastAsia="nb-NO"/>
        </w:rPr>
        <w:t>, innebærer ikke et brudd på avtalen. Mediene vil altså kunne lage lister over de rikeste, over ulike</w:t>
      </w:r>
    </w:p>
    <w:p w:rsidR="009037B6" w:rsidRPr="009037B6" w:rsidRDefault="009037B6" w:rsidP="009037B6">
      <w:pPr>
        <w:spacing w:after="0" w:line="240" w:lineRule="auto"/>
        <w:ind w:left="1080"/>
        <w:rPr>
          <w:rFonts w:ascii="Arial" w:hAnsi="Arial" w:cs="Arial"/>
          <w:sz w:val="18"/>
          <w:szCs w:val="18"/>
          <w:lang w:eastAsia="nb-NO"/>
        </w:rPr>
      </w:pPr>
      <w:r w:rsidRPr="009037B6">
        <w:rPr>
          <w:rFonts w:ascii="Arial" w:hAnsi="Arial" w:cs="Arial"/>
          <w:sz w:val="18"/>
          <w:szCs w:val="18"/>
          <w:lang w:eastAsia="nb-NO"/>
        </w:rPr>
        <w:t xml:space="preserve">yrkesgrupper, folkevalgte osv. Mer uklart er det ved publisering av lister som kun har geografi eller alder som avgrensning. En oversikt over </w:t>
      </w:r>
      <w:r w:rsidRPr="009037B6">
        <w:rPr>
          <w:rFonts w:ascii="Arial" w:hAnsi="Arial" w:cs="Arial"/>
          <w:i/>
          <w:iCs/>
          <w:sz w:val="18"/>
          <w:szCs w:val="18"/>
          <w:lang w:eastAsia="nb-NO"/>
        </w:rPr>
        <w:t>alle innbyggerne</w:t>
      </w:r>
      <w:r w:rsidRPr="009037B6">
        <w:rPr>
          <w:rFonts w:ascii="Arial" w:hAnsi="Arial" w:cs="Arial"/>
          <w:sz w:val="18"/>
          <w:szCs w:val="18"/>
          <w:lang w:eastAsia="nb-NO"/>
        </w:rPr>
        <w:t xml:space="preserve"> i en kommune vil trolig rammes av restriksjonen i avtalen. Det samme vil trolig gjelde en liste over samtlige 30-åringer i Norge. Men her kan vi fort havne i gråsoner som ikke er åpenbare ut fra loven, forarbeidene og avtaleteksten. Trolig vil det bli et spørsmål om utvalget og publiseringen kan forsvares ut fra journalistiske kriterier. Trolig vil det, ved så store utvalg, uansett være mest aktuelt å publisere statistiske data, og dermed ikke hele lister. </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Vi kommer tilbake med mer informasjon om den praktiske tilgangen til listene, herunder bruk og tilgang til programvaren </w:t>
      </w:r>
      <w:proofErr w:type="spellStart"/>
      <w:r w:rsidRPr="009037B6">
        <w:rPr>
          <w:rFonts w:ascii="Arial" w:hAnsi="Arial" w:cs="Arial"/>
          <w:sz w:val="18"/>
          <w:szCs w:val="18"/>
          <w:lang w:eastAsia="nb-NO"/>
        </w:rPr>
        <w:t>Taxy</w:t>
      </w:r>
      <w:proofErr w:type="spellEnd"/>
      <w:r w:rsidRPr="009037B6">
        <w:rPr>
          <w:rFonts w:ascii="Arial" w:hAnsi="Arial" w:cs="Arial"/>
          <w:sz w:val="18"/>
          <w:szCs w:val="18"/>
          <w:lang w:eastAsia="nb-NO"/>
        </w:rPr>
        <w:t>.</w:t>
      </w:r>
    </w:p>
    <w:p w:rsidR="009037B6" w:rsidRPr="009037B6" w:rsidRDefault="009037B6" w:rsidP="009037B6">
      <w:pPr>
        <w:spacing w:after="0" w:line="240" w:lineRule="auto"/>
        <w:rPr>
          <w:rFonts w:ascii="Calibri" w:hAnsi="Calibri" w:cs="Calibri"/>
          <w:color w:val="1F497D"/>
          <w:sz w:val="18"/>
          <w:szCs w:val="18"/>
          <w:lang w:eastAsia="nb-NO"/>
        </w:rPr>
      </w:pPr>
    </w:p>
    <w:p w:rsidR="009037B6" w:rsidRPr="009037B6" w:rsidRDefault="009037B6" w:rsidP="009037B6">
      <w:pPr>
        <w:spacing w:after="0" w:line="240" w:lineRule="auto"/>
        <w:rPr>
          <w:rFonts w:ascii="Calibri" w:hAnsi="Calibri" w:cs="Calibri"/>
          <w:color w:val="1F497D"/>
          <w:sz w:val="18"/>
          <w:szCs w:val="18"/>
          <w:lang w:eastAsia="nb-NO"/>
        </w:rPr>
      </w:pP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Med vennlig hilsen</w:t>
      </w:r>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 xml:space="preserve">For </w:t>
      </w:r>
      <w:proofErr w:type="spellStart"/>
      <w:r w:rsidRPr="009037B6">
        <w:rPr>
          <w:rFonts w:ascii="Arial" w:hAnsi="Arial" w:cs="Arial"/>
          <w:sz w:val="18"/>
          <w:szCs w:val="18"/>
          <w:lang w:eastAsia="nb-NO"/>
        </w:rPr>
        <w:t>NR-sekretariatet</w:t>
      </w:r>
      <w:proofErr w:type="spellEnd"/>
    </w:p>
    <w:p w:rsidR="009037B6" w:rsidRPr="009037B6" w:rsidRDefault="009037B6" w:rsidP="009037B6">
      <w:pPr>
        <w:spacing w:after="0" w:line="240" w:lineRule="auto"/>
        <w:rPr>
          <w:rFonts w:ascii="Arial" w:hAnsi="Arial" w:cs="Arial"/>
          <w:sz w:val="18"/>
          <w:szCs w:val="18"/>
          <w:lang w:eastAsia="nb-NO"/>
        </w:rPr>
      </w:pPr>
      <w:r w:rsidRPr="009037B6">
        <w:rPr>
          <w:rFonts w:ascii="Arial" w:hAnsi="Arial" w:cs="Arial"/>
          <w:sz w:val="18"/>
          <w:szCs w:val="18"/>
          <w:lang w:eastAsia="nb-NO"/>
        </w:rPr>
        <w:t>Arne Jensen</w:t>
      </w:r>
    </w:p>
    <w:p w:rsidR="009037B6" w:rsidRPr="009037B6" w:rsidRDefault="009037B6" w:rsidP="009037B6">
      <w:pPr>
        <w:spacing w:after="0" w:line="240" w:lineRule="auto"/>
        <w:rPr>
          <w:rFonts w:ascii="Arial" w:hAnsi="Arial" w:cs="Arial"/>
          <w:sz w:val="18"/>
          <w:szCs w:val="18"/>
          <w:lang w:eastAsia="nb-NO"/>
        </w:rPr>
      </w:pPr>
    </w:p>
    <w:p w:rsidR="009037B6" w:rsidRPr="009037B6" w:rsidRDefault="009037B6" w:rsidP="009037B6">
      <w:pPr>
        <w:spacing w:after="0" w:line="240" w:lineRule="auto"/>
        <w:rPr>
          <w:rFonts w:ascii="Calibri" w:hAnsi="Calibri" w:cs="Calibri"/>
          <w:lang w:eastAsia="nb-NO"/>
        </w:rPr>
      </w:pPr>
    </w:p>
    <w:p w:rsidR="009037B6" w:rsidRPr="009037B6" w:rsidRDefault="009037B6" w:rsidP="009037B6">
      <w:pPr>
        <w:spacing w:after="0" w:line="240" w:lineRule="auto"/>
        <w:rPr>
          <w:rFonts w:ascii="Arial" w:hAnsi="Arial" w:cs="Arial"/>
          <w:b/>
          <w:bCs/>
          <w:color w:val="7030A0"/>
          <w:lang w:eastAsia="nb-NO"/>
        </w:rPr>
      </w:pPr>
    </w:p>
    <w:p w:rsidR="009037B6" w:rsidRPr="009037B6" w:rsidRDefault="009037B6" w:rsidP="009037B6">
      <w:pPr>
        <w:spacing w:after="0" w:line="240" w:lineRule="auto"/>
        <w:rPr>
          <w:rFonts w:ascii="Arial" w:hAnsi="Arial" w:cs="Arial"/>
          <w:b/>
          <w:bCs/>
          <w:color w:val="7030A0"/>
          <w:lang w:eastAsia="nb-NO"/>
        </w:rPr>
      </w:pPr>
    </w:p>
    <w:p w:rsidR="009037B6" w:rsidRPr="009037B6" w:rsidRDefault="009037B6" w:rsidP="009037B6">
      <w:pPr>
        <w:spacing w:after="0" w:line="240" w:lineRule="auto"/>
        <w:rPr>
          <w:rFonts w:ascii="Arial" w:hAnsi="Arial" w:cs="Arial"/>
          <w:b/>
          <w:bCs/>
          <w:color w:val="7030A0"/>
          <w:lang w:eastAsia="nb-NO"/>
        </w:rPr>
      </w:pPr>
      <w:r>
        <w:rPr>
          <w:rFonts w:ascii="Arial" w:hAnsi="Arial" w:cs="Arial"/>
          <w:b/>
          <w:bCs/>
          <w:noProof/>
          <w:color w:val="1F497D"/>
          <w:lang w:eastAsia="nb-NO"/>
        </w:rPr>
        <w:drawing>
          <wp:inline distT="0" distB="0" distL="0" distR="0">
            <wp:extent cx="918140" cy="540000"/>
            <wp:effectExtent l="19050" t="0" r="0" b="0"/>
            <wp:docPr id="3" name="Bilde 12" descr="cid:image005.jpg@01CC5755.D916D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cid:image005.jpg@01CC5755.D916D290"/>
                    <pic:cNvPicPr>
                      <a:picLocks noChangeAspect="1" noChangeArrowheads="1"/>
                    </pic:cNvPicPr>
                  </pic:nvPicPr>
                  <pic:blipFill>
                    <a:blip r:embed="rId12" r:link="rId13" cstate="print"/>
                    <a:srcRect/>
                    <a:stretch>
                      <a:fillRect/>
                    </a:stretch>
                  </pic:blipFill>
                  <pic:spPr bwMode="auto">
                    <a:xfrm>
                      <a:off x="0" y="0"/>
                      <a:ext cx="918140" cy="540000"/>
                    </a:xfrm>
                    <a:prstGeom prst="rect">
                      <a:avLst/>
                    </a:prstGeom>
                    <a:noFill/>
                    <a:ln w="9525">
                      <a:noFill/>
                      <a:miter lim="800000"/>
                      <a:headEnd/>
                      <a:tailEnd/>
                    </a:ln>
                  </pic:spPr>
                </pic:pic>
              </a:graphicData>
            </a:graphic>
          </wp:inline>
        </w:drawing>
      </w:r>
    </w:p>
    <w:p w:rsidR="009037B6" w:rsidRPr="009037B6" w:rsidRDefault="009037B6" w:rsidP="009037B6">
      <w:pPr>
        <w:spacing w:after="0" w:line="240" w:lineRule="auto"/>
        <w:jc w:val="center"/>
        <w:rPr>
          <w:rFonts w:ascii="Arial" w:hAnsi="Arial" w:cs="Arial"/>
          <w:lang w:eastAsia="nb-NO"/>
        </w:rPr>
      </w:pPr>
    </w:p>
    <w:tbl>
      <w:tblPr>
        <w:tblW w:w="0" w:type="auto"/>
        <w:tblCellSpacing w:w="22" w:type="dxa"/>
        <w:tblCellMar>
          <w:left w:w="0" w:type="dxa"/>
          <w:right w:w="0" w:type="dxa"/>
        </w:tblCellMar>
        <w:tblLook w:val="04A0"/>
      </w:tblPr>
      <w:tblGrid>
        <w:gridCol w:w="9190"/>
      </w:tblGrid>
      <w:tr w:rsidR="009037B6" w:rsidRPr="009037B6" w:rsidTr="009037B6">
        <w:trPr>
          <w:tblCellSpacing w:w="22" w:type="dxa"/>
        </w:trPr>
        <w:tc>
          <w:tcPr>
            <w:tcW w:w="9102" w:type="dxa"/>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p w:rsidR="009037B6" w:rsidRPr="009037B6" w:rsidRDefault="009037B6" w:rsidP="009037B6">
            <w:pPr>
              <w:spacing w:after="0" w:line="240" w:lineRule="auto"/>
              <w:rPr>
                <w:rFonts w:ascii="Times New Roman" w:hAnsi="Times New Roman" w:cs="Times New Roman"/>
                <w:lang w:eastAsia="nb-NO"/>
              </w:rPr>
            </w:pPr>
            <w:r w:rsidRPr="009037B6">
              <w:rPr>
                <w:rFonts w:ascii="Calibri" w:hAnsi="Calibri" w:cs="Calibri"/>
                <w:lang w:eastAsia="nb-NO"/>
              </w:rPr>
              <w:t xml:space="preserve">Med vennlig hilsen </w:t>
            </w:r>
            <w:proofErr w:type="spellStart"/>
            <w:r w:rsidRPr="009037B6">
              <w:rPr>
                <w:rFonts w:ascii="Calibri" w:hAnsi="Calibri" w:cs="Calibri"/>
                <w:lang w:eastAsia="nb-NO"/>
              </w:rPr>
              <w:t>NR-sekretariatet</w:t>
            </w:r>
            <w:proofErr w:type="spellEnd"/>
            <w:r w:rsidRPr="009037B6">
              <w:rPr>
                <w:rFonts w:ascii="Calibri" w:hAnsi="Calibri" w:cs="Calibri"/>
                <w:lang w:eastAsia="nb-NO"/>
              </w:rPr>
              <w:t>:</w:t>
            </w:r>
          </w:p>
          <w:p w:rsidR="009037B6" w:rsidRPr="009037B6" w:rsidRDefault="009037B6" w:rsidP="009037B6">
            <w:pPr>
              <w:spacing w:after="0" w:line="240" w:lineRule="auto"/>
              <w:jc w:val="center"/>
              <w:rPr>
                <w:rFonts w:ascii="Calibri" w:eastAsia="Times New Roman" w:hAnsi="Calibri" w:cs="Calibri"/>
                <w:sz w:val="18"/>
                <w:szCs w:val="18"/>
                <w:lang w:eastAsia="nb-NO"/>
              </w:rPr>
            </w:pPr>
            <w:r w:rsidRPr="009037B6">
              <w:rPr>
                <w:rFonts w:ascii="Calibri" w:eastAsia="Times New Roman" w:hAnsi="Calibri" w:cs="Calibri"/>
                <w:sz w:val="18"/>
                <w:szCs w:val="18"/>
                <w:lang w:eastAsia="nb-NO"/>
              </w:rPr>
              <w:pict>
                <v:rect id="_x0000_i1028" style="width:453.6pt;height:1.5pt" o:hralign="center" o:hrstd="t" o:hr="t" fillcolor="#a0a0a0" stroked="f"/>
              </w:pict>
            </w:r>
          </w:p>
          <w:p w:rsidR="009037B6" w:rsidRPr="009037B6" w:rsidRDefault="009037B6" w:rsidP="009037B6">
            <w:pPr>
              <w:spacing w:after="0" w:line="240" w:lineRule="auto"/>
              <w:jc w:val="center"/>
              <w:rPr>
                <w:rFonts w:ascii="Calibri" w:hAnsi="Calibri" w:cs="Calibri"/>
                <w:sz w:val="18"/>
                <w:szCs w:val="18"/>
                <w:lang w:eastAsia="nb-NO"/>
              </w:rPr>
            </w:pPr>
          </w:p>
        </w:tc>
      </w:tr>
      <w:tr w:rsidR="009037B6" w:rsidRPr="009037B6" w:rsidTr="009037B6">
        <w:trPr>
          <w:tblCellSpacing w:w="22" w:type="dxa"/>
        </w:trPr>
        <w:tc>
          <w:tcPr>
            <w:tcW w:w="9102" w:type="dxa"/>
            <w:tcMar>
              <w:top w:w="15" w:type="dxa"/>
              <w:left w:w="15" w:type="dxa"/>
              <w:bottom w:w="15" w:type="dxa"/>
              <w:right w:w="15" w:type="dxa"/>
            </w:tcMar>
            <w:vAlign w:val="center"/>
            <w:hideMark/>
          </w:tcPr>
          <w:tbl>
            <w:tblPr>
              <w:tblW w:w="0" w:type="auto"/>
              <w:tblCellSpacing w:w="22" w:type="dxa"/>
              <w:tblCellMar>
                <w:left w:w="0" w:type="dxa"/>
                <w:right w:w="0" w:type="dxa"/>
              </w:tblCellMar>
              <w:tblLook w:val="04A0"/>
            </w:tblPr>
            <w:tblGrid>
              <w:gridCol w:w="3523"/>
              <w:gridCol w:w="476"/>
              <w:gridCol w:w="1773"/>
              <w:gridCol w:w="476"/>
              <w:gridCol w:w="2659"/>
            </w:tblGrid>
            <w:tr w:rsidR="009037B6" w:rsidRPr="009037B6">
              <w:trPr>
                <w:tblCellSpacing w:w="22" w:type="dxa"/>
              </w:trPr>
              <w:tc>
                <w:tcPr>
                  <w:tcW w:w="2000" w:type="pct"/>
                  <w:tcMar>
                    <w:top w:w="15" w:type="dxa"/>
                    <w:left w:w="15" w:type="dxa"/>
                    <w:bottom w:w="15" w:type="dxa"/>
                    <w:right w:w="15" w:type="dxa"/>
                  </w:tcMa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Generalsekretær Nils E. Øy</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1000" w:type="pct"/>
                  <w:tcMar>
                    <w:top w:w="15" w:type="dxa"/>
                    <w:left w:w="15" w:type="dxa"/>
                    <w:bottom w:w="15" w:type="dxa"/>
                    <w:right w:w="15" w:type="dxa"/>
                  </w:tcMa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90 55 03 24</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1500" w:type="pct"/>
                  <w:tcMar>
                    <w:top w:w="15" w:type="dxa"/>
                    <w:left w:w="15" w:type="dxa"/>
                    <w:bottom w:w="15" w:type="dxa"/>
                    <w:right w:w="15" w:type="dxa"/>
                  </w:tcMar>
                  <w:hideMark/>
                </w:tcPr>
                <w:p w:rsidR="009037B6" w:rsidRPr="009037B6" w:rsidRDefault="009037B6" w:rsidP="009037B6">
                  <w:pPr>
                    <w:spacing w:after="0" w:line="240" w:lineRule="auto"/>
                    <w:rPr>
                      <w:rFonts w:ascii="Calibri" w:hAnsi="Calibri" w:cs="Calibri"/>
                      <w:lang w:eastAsia="nb-NO"/>
                    </w:rPr>
                  </w:pPr>
                  <w:hyperlink r:id="rId14" w:history="1">
                    <w:r w:rsidRPr="009037B6">
                      <w:rPr>
                        <w:rFonts w:ascii="Calibri" w:hAnsi="Calibri" w:cs="Calibri"/>
                        <w:color w:val="0000FF"/>
                        <w:u w:val="single"/>
                        <w:lang w:eastAsia="nb-NO"/>
                      </w:rPr>
                      <w:t>nils.oy@nored.no</w:t>
                    </w:r>
                  </w:hyperlink>
                </w:p>
              </w:tc>
            </w:tr>
            <w:tr w:rsidR="009037B6" w:rsidRPr="009037B6">
              <w:trPr>
                <w:tblCellSpacing w:w="22" w:type="dxa"/>
              </w:trPr>
              <w:tc>
                <w:tcPr>
                  <w:tcW w:w="0" w:type="auto"/>
                  <w:tcMar>
                    <w:top w:w="15" w:type="dxa"/>
                    <w:left w:w="15" w:type="dxa"/>
                    <w:bottom w:w="15" w:type="dxa"/>
                    <w:right w:w="15" w:type="dxa"/>
                  </w:tcMa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Ass. generalsekretær Arne Jensen</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0" w:type="auto"/>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90 77 87 47</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0" w:type="auto"/>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hyperlink r:id="rId15" w:history="1">
                    <w:r w:rsidRPr="009037B6">
                      <w:rPr>
                        <w:rFonts w:ascii="Calibri" w:hAnsi="Calibri" w:cs="Calibri"/>
                        <w:color w:val="0000FF"/>
                        <w:u w:val="single"/>
                        <w:lang w:eastAsia="nb-NO"/>
                      </w:rPr>
                      <w:t>arne.jensen@nored.no</w:t>
                    </w:r>
                  </w:hyperlink>
                </w:p>
              </w:tc>
            </w:tr>
            <w:tr w:rsidR="009037B6" w:rsidRPr="009037B6">
              <w:trPr>
                <w:tblCellSpacing w:w="22" w:type="dxa"/>
              </w:trPr>
              <w:tc>
                <w:tcPr>
                  <w:tcW w:w="0" w:type="auto"/>
                  <w:tcMar>
                    <w:top w:w="15" w:type="dxa"/>
                    <w:left w:w="15" w:type="dxa"/>
                    <w:bottom w:w="15" w:type="dxa"/>
                    <w:right w:w="15" w:type="dxa"/>
                  </w:tcMa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Sekretær Monica Andersen</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0" w:type="auto"/>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r w:rsidRPr="009037B6">
                    <w:rPr>
                      <w:rFonts w:ascii="Calibri" w:hAnsi="Calibri" w:cs="Calibri"/>
                      <w:lang w:eastAsia="nb-NO"/>
                    </w:rPr>
                    <w:t>22 40 50 51</w:t>
                  </w:r>
                </w:p>
              </w:tc>
              <w:tc>
                <w:tcPr>
                  <w:tcW w:w="250" w:type="pct"/>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p>
              </w:tc>
              <w:tc>
                <w:tcPr>
                  <w:tcW w:w="0" w:type="auto"/>
                  <w:tcMar>
                    <w:top w:w="15" w:type="dxa"/>
                    <w:left w:w="15" w:type="dxa"/>
                    <w:bottom w:w="15" w:type="dxa"/>
                    <w:right w:w="15" w:type="dxa"/>
                  </w:tcMar>
                  <w:vAlign w:val="center"/>
                  <w:hideMark/>
                </w:tcPr>
                <w:p w:rsidR="009037B6" w:rsidRPr="009037B6" w:rsidRDefault="009037B6" w:rsidP="009037B6">
                  <w:pPr>
                    <w:spacing w:after="0" w:line="240" w:lineRule="auto"/>
                    <w:rPr>
                      <w:rFonts w:ascii="Calibri" w:hAnsi="Calibri" w:cs="Calibri"/>
                      <w:lang w:eastAsia="nb-NO"/>
                    </w:rPr>
                  </w:pPr>
                  <w:hyperlink r:id="rId16" w:history="1">
                    <w:r w:rsidRPr="009037B6">
                      <w:rPr>
                        <w:rFonts w:ascii="Calibri" w:hAnsi="Calibri" w:cs="Calibri"/>
                        <w:color w:val="0000FF"/>
                        <w:u w:val="single"/>
                        <w:lang w:eastAsia="nb-NO"/>
                      </w:rPr>
                      <w:t>monica.andersen@nored.no</w:t>
                    </w:r>
                  </w:hyperlink>
                </w:p>
              </w:tc>
            </w:tr>
          </w:tbl>
          <w:p w:rsidR="009037B6" w:rsidRPr="009037B6" w:rsidRDefault="009037B6" w:rsidP="009037B6">
            <w:pPr>
              <w:spacing w:after="0" w:line="240" w:lineRule="auto"/>
              <w:rPr>
                <w:rFonts w:ascii="Times New Roman" w:eastAsia="Times New Roman" w:hAnsi="Times New Roman" w:cs="Times New Roman"/>
                <w:sz w:val="24"/>
                <w:szCs w:val="24"/>
                <w:lang w:eastAsia="nb-NO"/>
              </w:rPr>
            </w:pPr>
          </w:p>
        </w:tc>
      </w:tr>
      <w:tr w:rsidR="009037B6" w:rsidRPr="009037B6" w:rsidTr="009037B6">
        <w:trPr>
          <w:tblCellSpacing w:w="22" w:type="dxa"/>
        </w:trPr>
        <w:tc>
          <w:tcPr>
            <w:tcW w:w="9102" w:type="dxa"/>
            <w:tcMar>
              <w:top w:w="15" w:type="dxa"/>
              <w:left w:w="15" w:type="dxa"/>
              <w:bottom w:w="15" w:type="dxa"/>
              <w:right w:w="15" w:type="dxa"/>
            </w:tcMar>
            <w:vAlign w:val="center"/>
            <w:hideMark/>
          </w:tcPr>
          <w:p w:rsidR="009037B6" w:rsidRPr="009037B6" w:rsidRDefault="009037B6" w:rsidP="009037B6">
            <w:pPr>
              <w:spacing w:after="0" w:line="240" w:lineRule="auto"/>
              <w:jc w:val="center"/>
              <w:rPr>
                <w:rFonts w:ascii="Calibri" w:eastAsia="Times New Roman" w:hAnsi="Calibri" w:cs="Calibri"/>
                <w:sz w:val="12"/>
                <w:szCs w:val="12"/>
                <w:lang w:eastAsia="nb-NO"/>
              </w:rPr>
            </w:pPr>
            <w:r w:rsidRPr="009037B6">
              <w:rPr>
                <w:rFonts w:ascii="Calibri" w:eastAsia="Times New Roman" w:hAnsi="Calibri" w:cs="Calibri"/>
                <w:sz w:val="12"/>
                <w:szCs w:val="12"/>
                <w:lang w:eastAsia="nb-NO"/>
              </w:rPr>
              <w:pict>
                <v:rect id="_x0000_i1029" style="width:453.6pt;height:1.5pt" o:hralign="center" o:hrstd="t" o:hr="t" fillcolor="#a0a0a0" stroked="f"/>
              </w:pict>
            </w:r>
          </w:p>
          <w:p w:rsidR="009037B6" w:rsidRPr="009037B6" w:rsidRDefault="009037B6" w:rsidP="009037B6">
            <w:pPr>
              <w:spacing w:after="0" w:line="240" w:lineRule="auto"/>
              <w:rPr>
                <w:rFonts w:ascii="Calibri" w:hAnsi="Calibri" w:cs="Calibri"/>
                <w:sz w:val="18"/>
                <w:szCs w:val="18"/>
                <w:lang w:eastAsia="nb-NO"/>
              </w:rPr>
            </w:pPr>
            <w:hyperlink r:id="rId17" w:history="1">
              <w:r w:rsidRPr="009037B6">
                <w:rPr>
                  <w:rFonts w:ascii="Calibri" w:hAnsi="Calibri" w:cs="Calibri"/>
                  <w:color w:val="0000FF"/>
                  <w:sz w:val="18"/>
                  <w:u w:val="single"/>
                  <w:lang w:eastAsia="nb-NO"/>
                </w:rPr>
                <w:t>www.nored.no</w:t>
              </w:r>
            </w:hyperlink>
            <w:r w:rsidRPr="009037B6">
              <w:rPr>
                <w:rFonts w:ascii="Calibri" w:hAnsi="Calibri" w:cs="Calibri"/>
                <w:sz w:val="18"/>
                <w:szCs w:val="18"/>
                <w:lang w:eastAsia="nb-NO"/>
              </w:rPr>
              <w:t xml:space="preserve"> Tlf 22 40 50 </w:t>
            </w:r>
            <w:proofErr w:type="spellStart"/>
            <w:r w:rsidRPr="009037B6">
              <w:rPr>
                <w:rFonts w:ascii="Calibri" w:hAnsi="Calibri" w:cs="Calibri"/>
                <w:sz w:val="18"/>
                <w:szCs w:val="18"/>
                <w:lang w:eastAsia="nb-NO"/>
              </w:rPr>
              <w:t>50</w:t>
            </w:r>
            <w:proofErr w:type="spellEnd"/>
            <w:r w:rsidRPr="009037B6">
              <w:rPr>
                <w:rFonts w:ascii="Calibri" w:hAnsi="Calibri" w:cs="Calibri"/>
                <w:sz w:val="18"/>
                <w:szCs w:val="18"/>
                <w:lang w:eastAsia="nb-NO"/>
              </w:rPr>
              <w:t xml:space="preserve"> - faks 22 40 50 55 - </w:t>
            </w:r>
            <w:hyperlink r:id="rId18" w:history="1">
              <w:r w:rsidRPr="009037B6">
                <w:rPr>
                  <w:rFonts w:ascii="Calibri" w:hAnsi="Calibri" w:cs="Calibri"/>
                  <w:color w:val="0000FF"/>
                  <w:sz w:val="18"/>
                  <w:u w:val="single"/>
                  <w:lang w:eastAsia="nb-NO"/>
                </w:rPr>
                <w:t>post@nored.no</w:t>
              </w:r>
            </w:hyperlink>
            <w:r w:rsidRPr="009037B6">
              <w:rPr>
                <w:rFonts w:ascii="Calibri" w:hAnsi="Calibri" w:cs="Calibri"/>
                <w:sz w:val="18"/>
                <w:szCs w:val="18"/>
                <w:lang w:eastAsia="nb-NO"/>
              </w:rPr>
              <w:t xml:space="preserve"> - Rådhusgaten 17, postboks 624, Sentrum 0106, Oslo </w:t>
            </w:r>
          </w:p>
        </w:tc>
      </w:tr>
    </w:tbl>
    <w:p w:rsidR="009037B6" w:rsidRPr="009037B6" w:rsidRDefault="009037B6" w:rsidP="009037B6">
      <w:pPr>
        <w:spacing w:after="0" w:line="240" w:lineRule="auto"/>
        <w:rPr>
          <w:rFonts w:ascii="Calibri" w:hAnsi="Calibri" w:cs="Calibri"/>
          <w:lang w:eastAsia="nb-NO"/>
        </w:rPr>
      </w:pPr>
    </w:p>
    <w:p w:rsidR="009037B6" w:rsidRPr="009037B6" w:rsidRDefault="009037B6" w:rsidP="009037B6">
      <w:pPr>
        <w:spacing w:after="0" w:line="240" w:lineRule="auto"/>
        <w:rPr>
          <w:rFonts w:ascii="Arial" w:hAnsi="Arial" w:cs="Arial"/>
          <w:i/>
          <w:iCs/>
          <w:color w:val="B2A1C7"/>
          <w:sz w:val="20"/>
          <w:szCs w:val="20"/>
          <w:lang w:eastAsia="nb-NO"/>
        </w:rPr>
      </w:pPr>
    </w:p>
    <w:p w:rsidR="009037B6" w:rsidRPr="009037B6" w:rsidRDefault="009037B6" w:rsidP="009037B6">
      <w:pPr>
        <w:spacing w:after="0" w:line="240" w:lineRule="auto"/>
        <w:rPr>
          <w:rFonts w:ascii="Calibri" w:hAnsi="Calibri" w:cs="Calibri"/>
          <w:lang w:eastAsia="nb-NO"/>
        </w:rPr>
      </w:pPr>
    </w:p>
    <w:p w:rsidR="006B4284" w:rsidRDefault="006B4284"/>
    <w:sectPr w:rsidR="006B4284" w:rsidSect="006B42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C5DB9"/>
    <w:multiLevelType w:val="hybridMultilevel"/>
    <w:tmpl w:val="EC4A5F9C"/>
    <w:lvl w:ilvl="0" w:tplc="1B249B80">
      <w:start w:val="1"/>
      <w:numFmt w:val="decimal"/>
      <w:lvlText w:val="%1."/>
      <w:lvlJc w:val="left"/>
      <w:pPr>
        <w:ind w:left="108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hyphenationZone w:val="425"/>
  <w:characterSpacingControl w:val="doNotCompress"/>
  <w:compat/>
  <w:rsids>
    <w:rsidRoot w:val="009037B6"/>
    <w:rsid w:val="006B4284"/>
    <w:rsid w:val="009037B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8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037B6"/>
    <w:rPr>
      <w:color w:val="0000FF"/>
      <w:u w:val="single"/>
    </w:rPr>
  </w:style>
  <w:style w:type="paragraph" w:styleId="Listeavsnitt">
    <w:name w:val="List Paragraph"/>
    <w:basedOn w:val="Normal"/>
    <w:uiPriority w:val="34"/>
    <w:qFormat/>
    <w:rsid w:val="009037B6"/>
    <w:pPr>
      <w:spacing w:after="0" w:line="240" w:lineRule="auto"/>
      <w:ind w:left="720"/>
    </w:pPr>
    <w:rPr>
      <w:rFonts w:ascii="Calibri" w:hAnsi="Calibri" w:cs="Calibri"/>
      <w:lang w:eastAsia="nb-NO"/>
    </w:rPr>
  </w:style>
  <w:style w:type="paragraph" w:styleId="Bobletekst">
    <w:name w:val="Balloon Text"/>
    <w:basedOn w:val="Normal"/>
    <w:link w:val="BobletekstTegn"/>
    <w:uiPriority w:val="99"/>
    <w:semiHidden/>
    <w:unhideWhenUsed/>
    <w:rsid w:val="009037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37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4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CC71F5.07457360" TargetMode="External"/><Relationship Id="rId13" Type="http://schemas.openxmlformats.org/officeDocument/2006/relationships/image" Target="cid:image004.jpg@01CC71F5.07457360" TargetMode="External"/><Relationship Id="rId18" Type="http://schemas.openxmlformats.org/officeDocument/2006/relationships/hyperlink" Target="mailto:post@nored.no"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www.nored.no" TargetMode="External"/><Relationship Id="rId2" Type="http://schemas.openxmlformats.org/officeDocument/2006/relationships/styles" Target="styles.xml"/><Relationship Id="rId16" Type="http://schemas.openxmlformats.org/officeDocument/2006/relationships/hyperlink" Target="mailto:monica.andersen@nored.n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jpg@01CC71F5.07457360" TargetMode="External"/><Relationship Id="rId11" Type="http://schemas.openxmlformats.org/officeDocument/2006/relationships/hyperlink" Target="http://minid.difi.no/minid/minid.php?lang=nb" TargetMode="External"/><Relationship Id="rId5" Type="http://schemas.openxmlformats.org/officeDocument/2006/relationships/image" Target="media/image1.jpeg"/><Relationship Id="rId15" Type="http://schemas.openxmlformats.org/officeDocument/2006/relationships/hyperlink" Target="mailto:arne.jensen@nored.no" TargetMode="External"/><Relationship Id="rId10" Type="http://schemas.openxmlformats.org/officeDocument/2006/relationships/hyperlink" Target="http://www.skatteetaten.no/no/Hvem-er-du/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vdata.no/all/tl-19800613-024-009.html" TargetMode="External"/><Relationship Id="rId14" Type="http://schemas.openxmlformats.org/officeDocument/2006/relationships/hyperlink" Target="mailto:nils.oy@nored.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1065</Words>
  <Characters>5650</Characters>
  <Application>Microsoft Office Word</Application>
  <DocSecurity>0</DocSecurity>
  <Lines>47</Lines>
  <Paragraphs>13</Paragraphs>
  <ScaleCrop>false</ScaleCrop>
  <Company>Hewlett-Packard Company</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1</cp:revision>
  <dcterms:created xsi:type="dcterms:W3CDTF">2011-09-13T13:14:00Z</dcterms:created>
  <dcterms:modified xsi:type="dcterms:W3CDTF">2011-09-13T13:17:00Z</dcterms:modified>
</cp:coreProperties>
</file>