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CCCBD" w14:textId="150122F7" w:rsidR="00166272" w:rsidRDefault="00F14E0A" w:rsidP="00166272">
      <w:r w:rsidRPr="00F14E0A">
        <w:t xml:space="preserve">FORSLAG TIL ENDRINGER/NYE BESTEMMELSER </w:t>
      </w:r>
      <w:r>
        <w:t xml:space="preserve">I LOV OM ETTERRETNINGSTJENESTER </w:t>
      </w:r>
      <w:r>
        <w:br/>
      </w:r>
      <w:r w:rsidRPr="00F14E0A">
        <w:br/>
      </w:r>
      <w:r w:rsidR="00166272">
        <w:t>Norsk Presseforbund, Norsk Redaktørforening, Norsk Journalistlag og NRK har samlet seg om følgende endringsforslag</w:t>
      </w:r>
      <w:r w:rsidR="00D13ECA">
        <w:t xml:space="preserve"> ( markert i rødt): </w:t>
      </w:r>
    </w:p>
    <w:p w14:paraId="402EAC1D" w14:textId="63A7686B" w:rsidR="00F14E0A" w:rsidRDefault="00F14E0A" w:rsidP="00F14E0A">
      <w:pPr>
        <w:ind w:left="708"/>
        <w:rPr>
          <w:i/>
          <w:iCs/>
        </w:rPr>
      </w:pPr>
      <w:r>
        <w:rPr>
          <w:i/>
          <w:iCs/>
        </w:rPr>
        <w:br/>
      </w:r>
      <w:r>
        <w:rPr>
          <w:i/>
          <w:iCs/>
        </w:rPr>
        <w:br/>
        <w:t>§ 9-6 Behandling av opplysninger som kan identifisere en kilde</w:t>
      </w:r>
    </w:p>
    <w:p w14:paraId="598DAC5A" w14:textId="77777777" w:rsidR="00F14E0A" w:rsidRDefault="00F14E0A" w:rsidP="00F14E0A">
      <w:pPr>
        <w:ind w:left="708"/>
        <w:rPr>
          <w:i/>
          <w:iCs/>
        </w:rPr>
      </w:pPr>
      <w:r>
        <w:rPr>
          <w:i/>
          <w:iCs/>
        </w:rPr>
        <w:t xml:space="preserve">Etterretningstjenesten skal ikke behandle opplysninger som er betrodd noen i deres journalistiske virke </w:t>
      </w:r>
      <w:r>
        <w:rPr>
          <w:i/>
          <w:iCs/>
          <w:color w:val="FF0000"/>
        </w:rPr>
        <w:t>eller</w:t>
      </w:r>
      <w:r>
        <w:rPr>
          <w:i/>
          <w:iCs/>
        </w:rPr>
        <w:t xml:space="preserve"> som kan avsløre hvem som er kilde for opplysningen, dersom den som betror seg eller som er betrodd opplysningen, er bosatt i Norge, norsk statsborger eller arbeider på oppdrag for virksomhet i Norge som omfattes av mediefridomslova § 2. Forbudet gjelder også dersom vedkommende ikke lenger bor i Norge eller arbeider for virksomheten, men gjorde dette da opplysningen ble gitt.</w:t>
      </w:r>
    </w:p>
    <w:p w14:paraId="2B19D981" w14:textId="77777777" w:rsidR="00F14E0A" w:rsidRDefault="00F14E0A" w:rsidP="00F14E0A">
      <w:pPr>
        <w:ind w:left="708"/>
        <w:rPr>
          <w:i/>
          <w:iCs/>
        </w:rPr>
      </w:pPr>
    </w:p>
    <w:p w14:paraId="19B9F76B" w14:textId="77777777" w:rsidR="00F14E0A" w:rsidRDefault="00F14E0A" w:rsidP="00F14E0A">
      <w:pPr>
        <w:ind w:left="708"/>
        <w:rPr>
          <w:i/>
          <w:iCs/>
          <w:color w:val="FF0000"/>
        </w:rPr>
      </w:pPr>
      <w:r>
        <w:rPr>
          <w:i/>
          <w:iCs/>
        </w:rPr>
        <w:t xml:space="preserve">Dersom det er strengt nødvendig at de hensyn som begrunner kildevernet, viker for nasjonale sikkerhetsinteresser, kan opplysninger som nevnt i første ledd likevel behandles. </w:t>
      </w:r>
      <w:r>
        <w:rPr>
          <w:i/>
          <w:iCs/>
          <w:color w:val="FF0000"/>
        </w:rPr>
        <w:t xml:space="preserve">I vurderingen av om det er strengt nødvendig, skal den nedkjølende effekten inngrepet vil ha for medienes mulighet til å motta informasjon i fremtiden, særlig vektlegges. </w:t>
      </w:r>
    </w:p>
    <w:p w14:paraId="0E557746" w14:textId="77777777" w:rsidR="00F14E0A" w:rsidRDefault="00F14E0A" w:rsidP="00F14E0A">
      <w:pPr>
        <w:ind w:left="708"/>
        <w:rPr>
          <w:i/>
          <w:iCs/>
        </w:rPr>
      </w:pPr>
    </w:p>
    <w:p w14:paraId="7FCD8321" w14:textId="77777777" w:rsidR="00F14E0A" w:rsidRDefault="00F14E0A" w:rsidP="00F14E0A">
      <w:pPr>
        <w:ind w:left="708"/>
        <w:rPr>
          <w:i/>
          <w:iCs/>
        </w:rPr>
      </w:pPr>
      <w:r>
        <w:rPr>
          <w:i/>
          <w:iCs/>
        </w:rPr>
        <w:t xml:space="preserve">Beslutning om å behandle opplysninger etter andre ledd </w:t>
      </w:r>
      <w:r>
        <w:rPr>
          <w:i/>
          <w:iCs/>
          <w:color w:val="FF0000"/>
        </w:rPr>
        <w:t>må</w:t>
      </w:r>
      <w:r>
        <w:rPr>
          <w:i/>
          <w:iCs/>
        </w:rPr>
        <w:t xml:space="preserve"> treffes av </w:t>
      </w:r>
      <w:r>
        <w:rPr>
          <w:i/>
          <w:iCs/>
          <w:color w:val="FF0000"/>
        </w:rPr>
        <w:t>retten</w:t>
      </w:r>
      <w:r>
        <w:rPr>
          <w:i/>
          <w:iCs/>
        </w:rPr>
        <w:t xml:space="preserve">. </w:t>
      </w:r>
      <w:r>
        <w:rPr>
          <w:i/>
          <w:iCs/>
          <w:color w:val="FF0000"/>
        </w:rPr>
        <w:t xml:space="preserve">Reglene i kapittel 8 får </w:t>
      </w:r>
      <w:proofErr w:type="gramStart"/>
      <w:r>
        <w:rPr>
          <w:i/>
          <w:iCs/>
          <w:color w:val="FF0000"/>
        </w:rPr>
        <w:t>anvendelse</w:t>
      </w:r>
      <w:proofErr w:type="gramEnd"/>
      <w:r>
        <w:rPr>
          <w:i/>
          <w:iCs/>
          <w:color w:val="FF0000"/>
        </w:rPr>
        <w:t xml:space="preserve"> så langt de passer. </w:t>
      </w:r>
      <w:r>
        <w:rPr>
          <w:i/>
          <w:iCs/>
        </w:rPr>
        <w:t>Beslutningen skal meddeles EOS-utvalget.</w:t>
      </w:r>
    </w:p>
    <w:p w14:paraId="0A2C8CDE" w14:textId="77777777" w:rsidR="00F14E0A" w:rsidRDefault="00F14E0A" w:rsidP="00F14E0A"/>
    <w:p w14:paraId="6A24C822" w14:textId="77777777" w:rsidR="00F14E0A" w:rsidRDefault="00F14E0A" w:rsidP="00F14E0A">
      <w:pPr>
        <w:rPr>
          <w:i/>
          <w:iCs/>
          <w:color w:val="FF0000"/>
        </w:rPr>
      </w:pPr>
      <w:r>
        <w:t xml:space="preserve">              </w:t>
      </w:r>
      <w:r>
        <w:rPr>
          <w:i/>
          <w:iCs/>
          <w:color w:val="FF0000"/>
        </w:rPr>
        <w:t xml:space="preserve">§ 5-5 Kildevernet </w:t>
      </w:r>
    </w:p>
    <w:p w14:paraId="201EB5FE" w14:textId="2A104365" w:rsidR="00F14E0A" w:rsidRDefault="00F14E0A" w:rsidP="00F14E0A">
      <w:pPr>
        <w:ind w:left="708"/>
        <w:rPr>
          <w:i/>
          <w:iCs/>
          <w:color w:val="FF0000"/>
        </w:rPr>
      </w:pPr>
      <w:r>
        <w:rPr>
          <w:i/>
          <w:iCs/>
          <w:color w:val="FF0000"/>
        </w:rPr>
        <w:t>Metoder for innhenting av informasjon som kan avsløre medienes kilder eller informasjon som er betrodd noen i deres journalistiske virke, skal ikke benyttes dersom kilden eller den redaksjonelle medarbeideren er bosatt i Norge, norsk statsborger eller arbeider på oppdrag for virksomhet i Norge</w:t>
      </w:r>
      <w:r w:rsidR="0078617C">
        <w:rPr>
          <w:i/>
          <w:iCs/>
          <w:color w:val="FF0000"/>
        </w:rPr>
        <w:t xml:space="preserve"> </w:t>
      </w:r>
      <w:r w:rsidR="0078617C" w:rsidRPr="0078617C">
        <w:rPr>
          <w:i/>
          <w:iCs/>
          <w:color w:val="FF0000"/>
        </w:rPr>
        <w:t>som er omfattet av medieansvarslova § 2.</w:t>
      </w:r>
      <w:r>
        <w:rPr>
          <w:i/>
          <w:iCs/>
          <w:color w:val="FF0000"/>
        </w:rPr>
        <w:t xml:space="preserve"> Metoder for innhenting av informasjon kan ikke rettes mot redaksjonelle medarbeidere</w:t>
      </w:r>
      <w:r>
        <w:rPr>
          <w:color w:val="FF0000"/>
        </w:rPr>
        <w:t xml:space="preserve"> som er </w:t>
      </w:r>
      <w:r>
        <w:rPr>
          <w:i/>
          <w:iCs/>
          <w:color w:val="FF0000"/>
        </w:rPr>
        <w:t xml:space="preserve">bosatt i Norge, norsk statsborger eller arbeider på oppdrag for virksomhet i Norge som er omfattet av medieansvarslova § 2. Tilsvarende gjelder for søk i metadata. </w:t>
      </w:r>
    </w:p>
    <w:p w14:paraId="55388B7E" w14:textId="77777777" w:rsidR="00F14E0A" w:rsidRDefault="00F14E0A" w:rsidP="00F14E0A">
      <w:pPr>
        <w:ind w:left="708"/>
        <w:rPr>
          <w:i/>
          <w:iCs/>
          <w:color w:val="FF0000"/>
        </w:rPr>
      </w:pPr>
      <w:r>
        <w:rPr>
          <w:i/>
          <w:iCs/>
          <w:color w:val="FF0000"/>
        </w:rPr>
        <w:t>Dersom det er strengt nødvendig at de hensyn som begrunner kildevernet, viker for nasjonale sikkerhetsinteresser kan metoder som nevnt i første ledd likevel behandles.</w:t>
      </w:r>
      <w:r>
        <w:rPr>
          <w:color w:val="FF0000"/>
        </w:rPr>
        <w:t xml:space="preserve"> </w:t>
      </w:r>
      <w:r>
        <w:rPr>
          <w:i/>
          <w:iCs/>
          <w:color w:val="FF0000"/>
        </w:rPr>
        <w:t xml:space="preserve">I vurderingen av om det er strengt nødvendig, skal den nedkjølende effekten inngrepet vil ha for medienes mulighet til å motta informasjon i fremtiden, særlig vektlegges. En slik beslutning må treffes av retten. Reglene i kapittel 8 får </w:t>
      </w:r>
      <w:proofErr w:type="gramStart"/>
      <w:r>
        <w:rPr>
          <w:i/>
          <w:iCs/>
          <w:color w:val="FF0000"/>
        </w:rPr>
        <w:t>anvendelse</w:t>
      </w:r>
      <w:proofErr w:type="gramEnd"/>
      <w:r>
        <w:rPr>
          <w:i/>
          <w:iCs/>
          <w:color w:val="FF0000"/>
        </w:rPr>
        <w:t xml:space="preserve"> så langt de passer. Beslutningen skal meddeles til EOS-utvalget. </w:t>
      </w:r>
    </w:p>
    <w:p w14:paraId="754C3FC8" w14:textId="77777777" w:rsidR="00F14E0A" w:rsidRDefault="00F14E0A" w:rsidP="00F14E0A">
      <w:pPr>
        <w:rPr>
          <w:i/>
          <w:iCs/>
        </w:rPr>
      </w:pPr>
    </w:p>
    <w:p w14:paraId="0937C1CA" w14:textId="77777777" w:rsidR="00F14E0A" w:rsidRDefault="00F14E0A" w:rsidP="00F14E0A">
      <w:pPr>
        <w:ind w:firstLine="708"/>
        <w:rPr>
          <w:i/>
          <w:iCs/>
        </w:rPr>
      </w:pPr>
      <w:r>
        <w:rPr>
          <w:i/>
          <w:iCs/>
        </w:rPr>
        <w:t>§ 8-4 Hva retten skal prøve</w:t>
      </w:r>
    </w:p>
    <w:p w14:paraId="3B1205AD" w14:textId="77777777" w:rsidR="00F14E0A" w:rsidRDefault="00F14E0A" w:rsidP="00F14E0A">
      <w:pPr>
        <w:ind w:left="708"/>
        <w:rPr>
          <w:i/>
          <w:iCs/>
        </w:rPr>
      </w:pPr>
      <w:r>
        <w:rPr>
          <w:i/>
          <w:iCs/>
        </w:rPr>
        <w:t>Retten skal prøve om vilkårene etter denne loven er oppfylt. Dette omfatter blant annet</w:t>
      </w:r>
    </w:p>
    <w:p w14:paraId="3D708687" w14:textId="77777777" w:rsidR="00F14E0A" w:rsidRDefault="00F14E0A" w:rsidP="00F14E0A">
      <w:pPr>
        <w:ind w:left="708"/>
        <w:rPr>
          <w:i/>
          <w:iCs/>
        </w:rPr>
      </w:pPr>
      <w:r>
        <w:rPr>
          <w:i/>
          <w:iCs/>
        </w:rPr>
        <w:t>a) om søket eller innhentingen ligger innenfor Etterretningstjenestens oppgaver etter kapittel 3</w:t>
      </w:r>
    </w:p>
    <w:p w14:paraId="20E5CA3A" w14:textId="77777777" w:rsidR="00F14E0A" w:rsidRDefault="00F14E0A" w:rsidP="00F14E0A">
      <w:pPr>
        <w:ind w:left="708"/>
        <w:rPr>
          <w:i/>
          <w:iCs/>
        </w:rPr>
      </w:pPr>
      <w:r>
        <w:rPr>
          <w:i/>
          <w:iCs/>
        </w:rPr>
        <w:t xml:space="preserve">b) </w:t>
      </w:r>
      <w:r>
        <w:rPr>
          <w:i/>
          <w:iCs/>
          <w:color w:val="FF0000"/>
        </w:rPr>
        <w:t xml:space="preserve">om søket eller innhentingen kan medføre et inngrep i kildevernet og om det er strengt nødvendig at kildevernet viker for nasjonale sikkerhetsinteresser, jfr.§ 9-6. </w:t>
      </w:r>
      <w:r>
        <w:rPr>
          <w:color w:val="FF0000"/>
        </w:rPr>
        <w:t xml:space="preserve">Alternativt: </w:t>
      </w:r>
      <w:r>
        <w:rPr>
          <w:i/>
          <w:iCs/>
          <w:color w:val="FF0000"/>
        </w:rPr>
        <w:t>om søket eller innhentingen er i strid med kildevernets rettslige beskyttelse, jfr. Den europeiske menneskerettskonvensjon artikkel 10.</w:t>
      </w:r>
    </w:p>
    <w:p w14:paraId="2A8BDD1A" w14:textId="77777777" w:rsidR="00F14E0A" w:rsidRDefault="00F14E0A" w:rsidP="00F14E0A">
      <w:pPr>
        <w:ind w:left="708"/>
        <w:rPr>
          <w:i/>
          <w:iCs/>
        </w:rPr>
      </w:pPr>
      <w:r>
        <w:rPr>
          <w:i/>
          <w:iCs/>
        </w:rPr>
        <w:t>c) om noen av forbudene i §§ 4-1, 4-8, 4-9 eller 9-4 er til hinder for søket eller innhentingen</w:t>
      </w:r>
    </w:p>
    <w:p w14:paraId="52ADF39A" w14:textId="77777777" w:rsidR="00F14E0A" w:rsidRDefault="00F14E0A" w:rsidP="00F14E0A">
      <w:pPr>
        <w:ind w:left="708"/>
        <w:rPr>
          <w:i/>
          <w:iCs/>
        </w:rPr>
      </w:pPr>
      <w:r>
        <w:rPr>
          <w:i/>
          <w:iCs/>
        </w:rPr>
        <w:t>d) om grunnvilkårene etter kapittel 5 er oppfylt.</w:t>
      </w:r>
    </w:p>
    <w:p w14:paraId="76674DE2" w14:textId="77777777" w:rsidR="00F14E0A" w:rsidRDefault="00F14E0A" w:rsidP="00F14E0A">
      <w:pPr>
        <w:rPr>
          <w:i/>
          <w:iCs/>
        </w:rPr>
      </w:pPr>
    </w:p>
    <w:p w14:paraId="7423C95D" w14:textId="77777777" w:rsidR="00F14E0A" w:rsidRDefault="00F14E0A" w:rsidP="00F14E0A">
      <w:pPr>
        <w:spacing w:after="240"/>
        <w:ind w:left="708" w:firstLine="2"/>
      </w:pPr>
      <w:r w:rsidRPr="00D13ECA">
        <w:rPr>
          <w:i/>
          <w:iCs/>
        </w:rPr>
        <w:t xml:space="preserve">§ 8-10 Hastekompetanse </w:t>
      </w:r>
      <w:r w:rsidRPr="00D13ECA">
        <w:rPr>
          <w:i/>
          <w:iCs/>
        </w:rPr>
        <w:br/>
      </w:r>
      <w:r w:rsidRPr="00D13ECA">
        <w:rPr>
          <w:i/>
          <w:iCs/>
          <w:color w:val="FF0000"/>
        </w:rPr>
        <w:t>Oppheves.</w:t>
      </w:r>
      <w:r>
        <w:rPr>
          <w:i/>
          <w:iCs/>
          <w:color w:val="FF0000"/>
        </w:rPr>
        <w:t xml:space="preserve"> </w:t>
      </w:r>
    </w:p>
    <w:p w14:paraId="1BF0F524" w14:textId="77777777" w:rsidR="00F14E0A" w:rsidRDefault="00F14E0A" w:rsidP="00F14E0A">
      <w:pPr>
        <w:rPr>
          <w:i/>
          <w:iCs/>
        </w:rPr>
      </w:pPr>
      <w:r>
        <w:t xml:space="preserve">              </w:t>
      </w:r>
      <w:r>
        <w:rPr>
          <w:i/>
          <w:iCs/>
        </w:rPr>
        <w:t xml:space="preserve">§ 7-2 Tilretteleggingsplikt for </w:t>
      </w:r>
      <w:proofErr w:type="spellStart"/>
      <w:r>
        <w:rPr>
          <w:i/>
          <w:iCs/>
        </w:rPr>
        <w:t>ekomtilbydere</w:t>
      </w:r>
      <w:proofErr w:type="spellEnd"/>
    </w:p>
    <w:p w14:paraId="05F91F67" w14:textId="77777777" w:rsidR="00F14E0A" w:rsidRDefault="00F14E0A" w:rsidP="00F14E0A">
      <w:pPr>
        <w:ind w:left="708"/>
        <w:rPr>
          <w:i/>
          <w:iCs/>
        </w:rPr>
      </w:pPr>
      <w:r>
        <w:rPr>
          <w:i/>
          <w:iCs/>
        </w:rPr>
        <w:lastRenderedPageBreak/>
        <w:t xml:space="preserve">Tilbydere som omfattes av </w:t>
      </w:r>
      <w:proofErr w:type="spellStart"/>
      <w:r>
        <w:rPr>
          <w:i/>
          <w:iCs/>
        </w:rPr>
        <w:t>ekomloven</w:t>
      </w:r>
      <w:proofErr w:type="spellEnd"/>
      <w:r>
        <w:rPr>
          <w:i/>
          <w:iCs/>
        </w:rPr>
        <w:t xml:space="preserve"> § 1-5 og tilbydere av internettbaserte kommunikasjons- eller meldingstjenester som er tilgjengelige for allmennheten, skal speile og gjøre tilgjengelig for Etterretningstjenesten utvalgte kommunikasjonsstrømmer og på annen måte tilrettelegge for utvalg, filtrering, testing, innhenting, lagring og søk som beskrevet i dette kapittelet, blant annet ved å</w:t>
      </w:r>
    </w:p>
    <w:p w14:paraId="4136642C" w14:textId="77777777" w:rsidR="00F14E0A" w:rsidRDefault="00F14E0A" w:rsidP="00F14E0A">
      <w:pPr>
        <w:ind w:left="708"/>
        <w:rPr>
          <w:i/>
          <w:iCs/>
        </w:rPr>
      </w:pPr>
      <w:r>
        <w:rPr>
          <w:i/>
          <w:iCs/>
        </w:rPr>
        <w:t>a) gi informasjon om signalmiljø, dataformater, tekniske innretninger og fremgangsmåter</w:t>
      </w:r>
    </w:p>
    <w:p w14:paraId="5EADB6D6" w14:textId="77777777" w:rsidR="00F14E0A" w:rsidRDefault="00F14E0A" w:rsidP="00F14E0A">
      <w:pPr>
        <w:ind w:left="708"/>
        <w:rPr>
          <w:i/>
          <w:iCs/>
        </w:rPr>
      </w:pPr>
      <w:r>
        <w:rPr>
          <w:i/>
          <w:iCs/>
        </w:rPr>
        <w:t>b) tillate at tjenesten installerer utstyr og etablerer midlertidig eller permanent tilstedeværelse for å drifte utstyr på steder som kontrolleres av tilbyder</w:t>
      </w:r>
    </w:p>
    <w:p w14:paraId="494C1B30" w14:textId="77777777" w:rsidR="00F14E0A" w:rsidRDefault="00F14E0A" w:rsidP="00F14E0A">
      <w:pPr>
        <w:ind w:left="708"/>
        <w:rPr>
          <w:i/>
          <w:iCs/>
        </w:rPr>
      </w:pPr>
      <w:r>
        <w:rPr>
          <w:i/>
          <w:iCs/>
        </w:rPr>
        <w:t>c) medvirke til teknisk drift og vedlikehold av etablerte løsninger</w:t>
      </w:r>
    </w:p>
    <w:p w14:paraId="07BBEC6A" w14:textId="77777777" w:rsidR="00F14E0A" w:rsidRDefault="00F14E0A" w:rsidP="00F14E0A">
      <w:pPr>
        <w:ind w:left="708"/>
        <w:rPr>
          <w:i/>
          <w:iCs/>
        </w:rPr>
      </w:pPr>
      <w:r>
        <w:rPr>
          <w:i/>
          <w:iCs/>
        </w:rPr>
        <w:t xml:space="preserve">d) bidra til at tjenesten kan gjennomføre testinnhenting og </w:t>
      </w:r>
      <w:proofErr w:type="spellStart"/>
      <w:r>
        <w:rPr>
          <w:i/>
          <w:iCs/>
        </w:rPr>
        <w:t>testanalyser</w:t>
      </w:r>
      <w:proofErr w:type="spellEnd"/>
      <w:r>
        <w:rPr>
          <w:i/>
          <w:iCs/>
        </w:rPr>
        <w:t xml:space="preserve"> av trafikk i nett og tjenester</w:t>
      </w:r>
    </w:p>
    <w:p w14:paraId="4F69482B" w14:textId="77777777" w:rsidR="00F14E0A" w:rsidRDefault="00F14E0A" w:rsidP="00F14E0A">
      <w:pPr>
        <w:ind w:left="708" w:firstLine="2"/>
        <w:rPr>
          <w:i/>
          <w:iCs/>
          <w:color w:val="FF0000"/>
        </w:rPr>
      </w:pPr>
      <w:r>
        <w:rPr>
          <w:i/>
          <w:iCs/>
        </w:rPr>
        <w:t xml:space="preserve">e) sørge for tilgang til kommunikasjon uten hinder av linkkryptering eller tilsvarende kryptering som tilbyder kontrollerer. </w:t>
      </w:r>
      <w:r>
        <w:rPr>
          <w:i/>
          <w:iCs/>
          <w:color w:val="FF0000"/>
        </w:rPr>
        <w:t>Tilbydere kan ikke pålegges å gi tilgang til ende-til-ende-kryptert kommunikasjon mellom sluttbrukere eller på annen måte omgå eksisterende kryptering mellom sluttbrukere. Tilbydere kan kun pålegges å sørge for speiling av kommunikasjonsstrømmer som tilbyderen selv har tilgang til i klartekst.</w:t>
      </w:r>
    </w:p>
    <w:p w14:paraId="1502732A" w14:textId="77777777" w:rsidR="00F14E0A" w:rsidRDefault="00F14E0A" w:rsidP="00F14E0A">
      <w:pPr>
        <w:ind w:left="708"/>
        <w:rPr>
          <w:i/>
          <w:iCs/>
        </w:rPr>
      </w:pPr>
    </w:p>
    <w:p w14:paraId="1A08C80F" w14:textId="77777777" w:rsidR="00F14E0A" w:rsidRDefault="00F14E0A" w:rsidP="00F14E0A">
      <w:pPr>
        <w:ind w:left="708"/>
        <w:rPr>
          <w:i/>
          <w:iCs/>
        </w:rPr>
      </w:pPr>
      <w:r>
        <w:rPr>
          <w:i/>
          <w:iCs/>
        </w:rPr>
        <w:t>f) medvirke til sikkerhetsmessig forsvarlige løsninger.</w:t>
      </w:r>
    </w:p>
    <w:p w14:paraId="3D176CBB" w14:textId="77777777" w:rsidR="00412CA3" w:rsidRDefault="003611E0"/>
    <w:sectPr w:rsidR="00412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0A"/>
    <w:rsid w:val="00166272"/>
    <w:rsid w:val="0078617C"/>
    <w:rsid w:val="00AC7428"/>
    <w:rsid w:val="00D13ECA"/>
    <w:rsid w:val="00D91BF8"/>
    <w:rsid w:val="00F14E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15A7"/>
  <w15:chartTrackingRefBased/>
  <w15:docId w15:val="{C08E2610-BACE-4024-A5A0-6B06CBCF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0A"/>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02098">
      <w:bodyDiv w:val="1"/>
      <w:marLeft w:val="0"/>
      <w:marRight w:val="0"/>
      <w:marTop w:val="0"/>
      <w:marBottom w:val="0"/>
      <w:divBdr>
        <w:top w:val="none" w:sz="0" w:space="0" w:color="auto"/>
        <w:left w:val="none" w:sz="0" w:space="0" w:color="auto"/>
        <w:bottom w:val="none" w:sz="0" w:space="0" w:color="auto"/>
        <w:right w:val="none" w:sz="0" w:space="0" w:color="auto"/>
      </w:divBdr>
    </w:div>
    <w:div w:id="6723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3745</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Foss</dc:creator>
  <cp:keywords/>
  <dc:description/>
  <cp:lastModifiedBy>Kristine Foss</cp:lastModifiedBy>
  <cp:revision>2</cp:revision>
  <dcterms:created xsi:type="dcterms:W3CDTF">2020-05-28T10:10:00Z</dcterms:created>
  <dcterms:modified xsi:type="dcterms:W3CDTF">2020-05-28T10:10:00Z</dcterms:modified>
</cp:coreProperties>
</file>