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84629" w14:textId="77777777" w:rsidR="00025C96" w:rsidRDefault="00025C96">
      <w:r>
        <w:rPr>
          <w:noProof/>
        </w:rPr>
        <w:drawing>
          <wp:inline distT="0" distB="0" distL="0" distR="0" wp14:anchorId="1D52E125" wp14:editId="2117B4E2">
            <wp:extent cx="3226919" cy="1070261"/>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5025" cy="1099483"/>
                    </a:xfrm>
                    <a:prstGeom prst="rect">
                      <a:avLst/>
                    </a:prstGeom>
                    <a:noFill/>
                    <a:ln>
                      <a:noFill/>
                    </a:ln>
                  </pic:spPr>
                </pic:pic>
              </a:graphicData>
            </a:graphic>
          </wp:inline>
        </w:drawing>
      </w:r>
    </w:p>
    <w:p w14:paraId="4536F278" w14:textId="77777777" w:rsidR="00025C96" w:rsidRDefault="00025C96"/>
    <w:p w14:paraId="53DCD194" w14:textId="77777777" w:rsidR="00381036" w:rsidRDefault="00025C96">
      <w:r>
        <w:t xml:space="preserve">Utenriks- og forsvarskomiteen                                                                                                                                                   </w:t>
      </w:r>
    </w:p>
    <w:p w14:paraId="6A1FDBA8" w14:textId="4B77F41D" w:rsidR="00025C96" w:rsidRDefault="00025C96" w:rsidP="00381036">
      <w:pPr>
        <w:ind w:left="6372" w:firstLine="708"/>
      </w:pPr>
      <w:r>
        <w:t xml:space="preserve">Oslo, 25.05.2020 </w:t>
      </w:r>
    </w:p>
    <w:p w14:paraId="5B352AEE" w14:textId="77777777" w:rsidR="00025C96" w:rsidRDefault="00025C96"/>
    <w:p w14:paraId="2D70CF70" w14:textId="3E17149C" w:rsidR="00025C96" w:rsidRPr="00850827" w:rsidRDefault="00025C96" w:rsidP="006C26F2">
      <w:pPr>
        <w:pStyle w:val="Overskrift1"/>
      </w:pPr>
      <w:r>
        <w:t>Komit</w:t>
      </w:r>
      <w:r w:rsidR="00606D9C">
        <w:t>e</w:t>
      </w:r>
      <w:r>
        <w:t xml:space="preserve">høring – Lov om </w:t>
      </w:r>
      <w:r w:rsidR="00606D9C">
        <w:t>Etterretningstjenesten</w:t>
      </w:r>
      <w:r>
        <w:t xml:space="preserve"> </w:t>
      </w:r>
    </w:p>
    <w:p w14:paraId="6F994E81" w14:textId="2738BF22" w:rsidR="00AD6E94" w:rsidRPr="00696E03" w:rsidRDefault="00AD6E94" w:rsidP="00AD6E94">
      <w:pPr>
        <w:pStyle w:val="Default"/>
        <w:rPr>
          <w:rFonts w:asciiTheme="minorHAnsi" w:hAnsiTheme="minorHAnsi" w:cstheme="minorHAnsi"/>
        </w:rPr>
      </w:pPr>
    </w:p>
    <w:p w14:paraId="6405FA54" w14:textId="77777777" w:rsidR="00740FF6" w:rsidRDefault="0032135B" w:rsidP="00AD6E94">
      <w:pPr>
        <w:pStyle w:val="Default"/>
        <w:rPr>
          <w:sz w:val="22"/>
          <w:szCs w:val="22"/>
        </w:rPr>
      </w:pPr>
      <w:bookmarkStart w:id="0" w:name="_Hlk41245998"/>
      <w:r w:rsidRPr="00696E03">
        <w:rPr>
          <w:rFonts w:asciiTheme="minorHAnsi" w:hAnsiTheme="minorHAnsi" w:cstheme="minorHAnsi"/>
          <w:b/>
          <w:bCs/>
        </w:rPr>
        <w:t xml:space="preserve">1. </w:t>
      </w:r>
      <w:r w:rsidR="008D69CD" w:rsidRPr="00696E03">
        <w:rPr>
          <w:rFonts w:asciiTheme="minorHAnsi" w:hAnsiTheme="minorHAnsi" w:cstheme="minorHAnsi"/>
          <w:b/>
          <w:bCs/>
        </w:rPr>
        <w:t>K</w:t>
      </w:r>
      <w:r w:rsidR="00C115A2" w:rsidRPr="00696E03">
        <w:rPr>
          <w:rFonts w:asciiTheme="minorHAnsi" w:hAnsiTheme="minorHAnsi" w:cstheme="minorHAnsi"/>
          <w:b/>
          <w:bCs/>
        </w:rPr>
        <w:t xml:space="preserve">ildevernet </w:t>
      </w:r>
      <w:r w:rsidRPr="00696E03">
        <w:rPr>
          <w:rFonts w:asciiTheme="minorHAnsi" w:hAnsiTheme="minorHAnsi" w:cstheme="minorHAnsi"/>
          <w:b/>
          <w:bCs/>
        </w:rPr>
        <w:t>må sikres gjennom bedre domstolskontroll</w:t>
      </w:r>
      <w:r>
        <w:rPr>
          <w:b/>
          <w:bCs/>
          <w:sz w:val="22"/>
          <w:szCs w:val="22"/>
        </w:rPr>
        <w:t xml:space="preserve"> </w:t>
      </w:r>
      <w:r w:rsidR="00C115A2" w:rsidRPr="00850827">
        <w:rPr>
          <w:b/>
          <w:bCs/>
          <w:sz w:val="22"/>
          <w:szCs w:val="22"/>
        </w:rPr>
        <w:br/>
      </w:r>
    </w:p>
    <w:p w14:paraId="2BC71555" w14:textId="66FF1CEF" w:rsidR="00DF25B1" w:rsidRPr="00850827" w:rsidRDefault="00DC788D" w:rsidP="00AD6E94">
      <w:pPr>
        <w:pStyle w:val="Default"/>
        <w:rPr>
          <w:b/>
          <w:bCs/>
          <w:sz w:val="22"/>
          <w:szCs w:val="22"/>
        </w:rPr>
      </w:pPr>
      <w:r w:rsidRPr="00850827">
        <w:rPr>
          <w:sz w:val="22"/>
          <w:szCs w:val="22"/>
        </w:rPr>
        <w:t xml:space="preserve">Forslaget er inngripende og innebærer en alvorlig trussel mot kildevernet og medienes kildetilfang.  </w:t>
      </w:r>
      <w:r w:rsidR="00C55CA1" w:rsidRPr="00850827">
        <w:rPr>
          <w:sz w:val="22"/>
          <w:szCs w:val="22"/>
        </w:rPr>
        <w:t xml:space="preserve">Vi </w:t>
      </w:r>
      <w:r w:rsidR="005109DF" w:rsidRPr="00850827">
        <w:rPr>
          <w:sz w:val="22"/>
          <w:szCs w:val="22"/>
        </w:rPr>
        <w:t xml:space="preserve">viser til innspill fra Norsk Journalistlag, Norsk Redaktørforening og </w:t>
      </w:r>
      <w:r w:rsidR="008D69CD" w:rsidRPr="00850827">
        <w:rPr>
          <w:sz w:val="22"/>
          <w:szCs w:val="22"/>
        </w:rPr>
        <w:t>NRK</w:t>
      </w:r>
      <w:r w:rsidR="005109DF" w:rsidRPr="00850827">
        <w:rPr>
          <w:sz w:val="22"/>
          <w:szCs w:val="22"/>
        </w:rPr>
        <w:t xml:space="preserve"> og støtter deres innspill.</w:t>
      </w:r>
      <w:r w:rsidRPr="00850827">
        <w:rPr>
          <w:sz w:val="22"/>
          <w:szCs w:val="22"/>
        </w:rPr>
        <w:t xml:space="preserve"> Vi vil særlig trekke frem følgende: </w:t>
      </w:r>
      <w:r w:rsidR="008658AD" w:rsidRPr="00850827">
        <w:rPr>
          <w:sz w:val="22"/>
          <w:szCs w:val="22"/>
        </w:rPr>
        <w:t xml:space="preserve"> </w:t>
      </w:r>
    </w:p>
    <w:p w14:paraId="43DEC725" w14:textId="77777777" w:rsidR="00DF25B1" w:rsidRPr="00850827" w:rsidRDefault="00DF25B1" w:rsidP="00AD6E94">
      <w:pPr>
        <w:pStyle w:val="Default"/>
        <w:rPr>
          <w:b/>
          <w:bCs/>
          <w:sz w:val="22"/>
          <w:szCs w:val="22"/>
        </w:rPr>
      </w:pPr>
    </w:p>
    <w:p w14:paraId="248A4FE2" w14:textId="1EFEE91E" w:rsidR="00850827" w:rsidRDefault="006204E2" w:rsidP="00DF25B1">
      <w:pPr>
        <w:pStyle w:val="Default"/>
        <w:ind w:left="708"/>
        <w:rPr>
          <w:sz w:val="22"/>
          <w:szCs w:val="22"/>
        </w:rPr>
      </w:pPr>
      <w:r w:rsidRPr="00850827">
        <w:rPr>
          <w:b/>
          <w:bCs/>
          <w:sz w:val="22"/>
          <w:szCs w:val="22"/>
        </w:rPr>
        <w:t xml:space="preserve">*Utkastets </w:t>
      </w:r>
      <w:r w:rsidR="008658AD" w:rsidRPr="00850827">
        <w:rPr>
          <w:b/>
          <w:bCs/>
          <w:sz w:val="22"/>
          <w:szCs w:val="22"/>
        </w:rPr>
        <w:t xml:space="preserve">§7-8 og §7-9: Domstolsprøving må knyttes til kildevern </w:t>
      </w:r>
      <w:r w:rsidR="008658AD" w:rsidRPr="00850827">
        <w:rPr>
          <w:b/>
          <w:bCs/>
          <w:sz w:val="22"/>
          <w:szCs w:val="22"/>
        </w:rPr>
        <w:br/>
      </w:r>
      <w:r w:rsidR="008658AD" w:rsidRPr="00850827">
        <w:rPr>
          <w:sz w:val="22"/>
          <w:szCs w:val="22"/>
        </w:rPr>
        <w:t>Trusselen mot og skaden på kildevernet oppstår allerede ved søk i metadat</w:t>
      </w:r>
      <w:r w:rsidR="00850827">
        <w:rPr>
          <w:sz w:val="22"/>
          <w:szCs w:val="22"/>
        </w:rPr>
        <w:t>a</w:t>
      </w:r>
      <w:r w:rsidR="008658AD" w:rsidRPr="00850827">
        <w:rPr>
          <w:sz w:val="22"/>
          <w:szCs w:val="22"/>
        </w:rPr>
        <w:t xml:space="preserve"> og målrettet innhenting av </w:t>
      </w:r>
      <w:proofErr w:type="spellStart"/>
      <w:r w:rsidR="008658AD" w:rsidRPr="00850827">
        <w:rPr>
          <w:sz w:val="22"/>
          <w:szCs w:val="22"/>
        </w:rPr>
        <w:t>innholdsdata</w:t>
      </w:r>
      <w:proofErr w:type="spellEnd"/>
      <w:r w:rsidR="00850827">
        <w:rPr>
          <w:sz w:val="22"/>
          <w:szCs w:val="22"/>
        </w:rPr>
        <w:t xml:space="preserve">. </w:t>
      </w:r>
      <w:r w:rsidR="008658AD" w:rsidRPr="00850827">
        <w:rPr>
          <w:sz w:val="22"/>
          <w:szCs w:val="22"/>
        </w:rPr>
        <w:t xml:space="preserve">Det bør </w:t>
      </w:r>
      <w:proofErr w:type="gramStart"/>
      <w:r w:rsidR="008658AD" w:rsidRPr="00850827">
        <w:rPr>
          <w:sz w:val="22"/>
          <w:szCs w:val="22"/>
        </w:rPr>
        <w:t>fremgå</w:t>
      </w:r>
      <w:proofErr w:type="gramEnd"/>
      <w:r w:rsidR="008658AD" w:rsidRPr="00850827">
        <w:rPr>
          <w:sz w:val="22"/>
          <w:szCs w:val="22"/>
        </w:rPr>
        <w:t xml:space="preserve"> eksplisitt av disse bestemmelsene at domstolen skal vurdere tiltaket opp mot kildevernet ved søk i metadata (§7-8) og målrettet innhenting (§7-9)</w:t>
      </w:r>
      <w:r w:rsidR="008658AD" w:rsidRPr="00850827">
        <w:rPr>
          <w:sz w:val="22"/>
          <w:szCs w:val="22"/>
        </w:rPr>
        <w:br/>
      </w:r>
    </w:p>
    <w:p w14:paraId="5EB67B1D" w14:textId="199DE1FA" w:rsidR="00F73F9F" w:rsidRPr="00850827" w:rsidRDefault="006204E2" w:rsidP="00F73F9F">
      <w:pPr>
        <w:pStyle w:val="Default"/>
        <w:ind w:left="708"/>
        <w:rPr>
          <w:sz w:val="22"/>
          <w:szCs w:val="22"/>
        </w:rPr>
      </w:pPr>
      <w:r w:rsidRPr="00850827">
        <w:rPr>
          <w:b/>
          <w:bCs/>
          <w:sz w:val="22"/>
          <w:szCs w:val="22"/>
        </w:rPr>
        <w:t xml:space="preserve">*Utkastets </w:t>
      </w:r>
      <w:r w:rsidR="008658AD" w:rsidRPr="00850827">
        <w:rPr>
          <w:b/>
          <w:bCs/>
          <w:sz w:val="22"/>
          <w:szCs w:val="22"/>
        </w:rPr>
        <w:t xml:space="preserve">§ 9-6: </w:t>
      </w:r>
      <w:r w:rsidR="008658AD" w:rsidRPr="00850827">
        <w:rPr>
          <w:sz w:val="22"/>
          <w:szCs w:val="22"/>
        </w:rPr>
        <w:t xml:space="preserve">Spørsmål om behandling av opplysninger som kan identifisere en kilde, må underlegges domstolskontroll. </w:t>
      </w:r>
    </w:p>
    <w:p w14:paraId="6848B4D8" w14:textId="77777777" w:rsidR="008658AD" w:rsidRPr="00850827" w:rsidRDefault="008658AD" w:rsidP="00AD6E94">
      <w:pPr>
        <w:pStyle w:val="Default"/>
        <w:rPr>
          <w:sz w:val="22"/>
          <w:szCs w:val="22"/>
        </w:rPr>
      </w:pPr>
    </w:p>
    <w:p w14:paraId="62DAE53D" w14:textId="1F86F6A6" w:rsidR="00C115A2" w:rsidRPr="00850827" w:rsidRDefault="006204E2" w:rsidP="00DF25B1">
      <w:pPr>
        <w:pStyle w:val="Default"/>
        <w:ind w:left="708"/>
        <w:rPr>
          <w:sz w:val="22"/>
          <w:szCs w:val="22"/>
        </w:rPr>
      </w:pPr>
      <w:r w:rsidRPr="00850827">
        <w:rPr>
          <w:b/>
          <w:bCs/>
          <w:sz w:val="22"/>
          <w:szCs w:val="22"/>
        </w:rPr>
        <w:t xml:space="preserve">*Utkastets </w:t>
      </w:r>
      <w:r w:rsidR="008658AD" w:rsidRPr="00850827">
        <w:rPr>
          <w:b/>
          <w:bCs/>
          <w:sz w:val="22"/>
          <w:szCs w:val="22"/>
        </w:rPr>
        <w:t>§ 8-10:</w:t>
      </w:r>
      <w:r w:rsidR="008658AD" w:rsidRPr="00850827">
        <w:rPr>
          <w:sz w:val="22"/>
          <w:szCs w:val="22"/>
        </w:rPr>
        <w:t xml:space="preserve"> Hastekompetanse</w:t>
      </w:r>
      <w:r w:rsidR="00DC788D" w:rsidRPr="00850827">
        <w:rPr>
          <w:sz w:val="22"/>
          <w:szCs w:val="22"/>
        </w:rPr>
        <w:t xml:space="preserve"> må avgjøres av domstolen. Subsidiær </w:t>
      </w:r>
      <w:r w:rsidR="00155FC5" w:rsidRPr="00850827">
        <w:rPr>
          <w:sz w:val="22"/>
          <w:szCs w:val="22"/>
        </w:rPr>
        <w:t>må man</w:t>
      </w:r>
      <w:r w:rsidR="00CB2BC6" w:rsidRPr="00850827">
        <w:rPr>
          <w:sz w:val="22"/>
          <w:szCs w:val="22"/>
        </w:rPr>
        <w:t xml:space="preserve"> sette inn sikkerhetsmekanismer </w:t>
      </w:r>
      <w:r w:rsidR="00DC788D" w:rsidRPr="00850827">
        <w:rPr>
          <w:sz w:val="22"/>
          <w:szCs w:val="22"/>
        </w:rPr>
        <w:t xml:space="preserve">for å minske inngrepet i kildevernet, som at søk </w:t>
      </w:r>
      <w:r w:rsidR="008E3EDE" w:rsidRPr="00850827">
        <w:rPr>
          <w:sz w:val="22"/>
          <w:szCs w:val="22"/>
        </w:rPr>
        <w:t xml:space="preserve">aldri </w:t>
      </w:r>
      <w:r w:rsidR="00DC788D" w:rsidRPr="00850827">
        <w:rPr>
          <w:sz w:val="22"/>
          <w:szCs w:val="22"/>
        </w:rPr>
        <w:t xml:space="preserve">kan foretas før </w:t>
      </w:r>
      <w:r w:rsidRPr="00850827">
        <w:rPr>
          <w:sz w:val="22"/>
          <w:szCs w:val="22"/>
        </w:rPr>
        <w:t xml:space="preserve">inngrepet er underlagt domstolskontroll.  </w:t>
      </w:r>
    </w:p>
    <w:p w14:paraId="4DFCB303" w14:textId="20EDA907" w:rsidR="00C115A2" w:rsidRPr="00850827" w:rsidRDefault="00850827" w:rsidP="00AD6E94">
      <w:pPr>
        <w:pStyle w:val="Default"/>
        <w:rPr>
          <w:b/>
          <w:bCs/>
          <w:sz w:val="22"/>
          <w:szCs w:val="22"/>
        </w:rPr>
      </w:pPr>
      <w:r w:rsidRPr="00850827">
        <w:rPr>
          <w:sz w:val="22"/>
          <w:szCs w:val="22"/>
        </w:rPr>
        <w:br/>
      </w:r>
    </w:p>
    <w:p w14:paraId="14EDB1AB" w14:textId="55F59BD2" w:rsidR="00F73F9F" w:rsidRDefault="0032135B" w:rsidP="00696E03">
      <w:pPr>
        <w:pStyle w:val="Default"/>
        <w:rPr>
          <w:b/>
          <w:bCs/>
          <w:sz w:val="22"/>
          <w:szCs w:val="22"/>
        </w:rPr>
      </w:pPr>
      <w:r w:rsidRPr="00696E03">
        <w:rPr>
          <w:b/>
          <w:bCs/>
        </w:rPr>
        <w:t>2</w:t>
      </w:r>
      <w:r w:rsidR="006204E2" w:rsidRPr="00696E03">
        <w:rPr>
          <w:b/>
          <w:bCs/>
        </w:rPr>
        <w:t xml:space="preserve">. Tilrettelagt innhenting </w:t>
      </w:r>
      <w:r w:rsidR="00381036" w:rsidRPr="00696E03">
        <w:rPr>
          <w:b/>
          <w:bCs/>
        </w:rPr>
        <w:t xml:space="preserve">– </w:t>
      </w:r>
      <w:r w:rsidR="006C26F2" w:rsidRPr="00696E03">
        <w:rPr>
          <w:b/>
          <w:bCs/>
        </w:rPr>
        <w:t>kapittel 7</w:t>
      </w:r>
      <w:r w:rsidR="00DF25B1" w:rsidRPr="00850827">
        <w:rPr>
          <w:b/>
          <w:bCs/>
          <w:sz w:val="22"/>
          <w:szCs w:val="22"/>
        </w:rPr>
        <w:br/>
      </w:r>
      <w:r w:rsidR="00740FF6">
        <w:rPr>
          <w:b/>
          <w:bCs/>
          <w:sz w:val="22"/>
          <w:szCs w:val="22"/>
        </w:rPr>
        <w:br/>
      </w:r>
      <w:r w:rsidR="00F73F9F" w:rsidRPr="00F73F9F">
        <w:rPr>
          <w:b/>
          <w:bCs/>
          <w:sz w:val="22"/>
          <w:szCs w:val="22"/>
        </w:rPr>
        <w:t xml:space="preserve">- </w:t>
      </w:r>
      <w:r w:rsidR="00FA6416">
        <w:rPr>
          <w:b/>
          <w:bCs/>
          <w:sz w:val="22"/>
          <w:szCs w:val="22"/>
        </w:rPr>
        <w:t>Egen</w:t>
      </w:r>
      <w:r w:rsidR="00F73F9F" w:rsidRPr="00F73F9F">
        <w:rPr>
          <w:b/>
          <w:bCs/>
          <w:sz w:val="22"/>
          <w:szCs w:val="22"/>
        </w:rPr>
        <w:t xml:space="preserve"> lovbestemmelse som ivaretar kildevernet: </w:t>
      </w:r>
      <w:r w:rsidR="00F73F9F" w:rsidRPr="00F73F9F">
        <w:rPr>
          <w:b/>
          <w:bCs/>
          <w:sz w:val="22"/>
          <w:szCs w:val="22"/>
        </w:rPr>
        <w:br/>
      </w:r>
      <w:r w:rsidR="00F73F9F" w:rsidRPr="006C26F2">
        <w:rPr>
          <w:sz w:val="22"/>
          <w:szCs w:val="22"/>
        </w:rPr>
        <w:t xml:space="preserve">NP </w:t>
      </w:r>
      <w:r w:rsidR="00F73F9F">
        <w:rPr>
          <w:sz w:val="22"/>
          <w:szCs w:val="22"/>
        </w:rPr>
        <w:t>mener det er nødvendig å ta</w:t>
      </w:r>
      <w:r w:rsidR="00F73F9F" w:rsidRPr="00850827">
        <w:rPr>
          <w:sz w:val="22"/>
          <w:szCs w:val="22"/>
        </w:rPr>
        <w:t xml:space="preserve"> inn eksplisitt i loven at </w:t>
      </w:r>
      <w:r w:rsidR="00F73F9F">
        <w:rPr>
          <w:sz w:val="22"/>
          <w:szCs w:val="22"/>
        </w:rPr>
        <w:t>inngrepene</w:t>
      </w:r>
      <w:r w:rsidR="00F73F9F" w:rsidRPr="00850827">
        <w:rPr>
          <w:sz w:val="22"/>
          <w:szCs w:val="22"/>
        </w:rPr>
        <w:t xml:space="preserve"> ikke kan brukes for å drive kildejakt eller rettes mot </w:t>
      </w:r>
      <w:r w:rsidR="00F73F9F">
        <w:rPr>
          <w:sz w:val="22"/>
          <w:szCs w:val="22"/>
        </w:rPr>
        <w:t xml:space="preserve">redaksjonelt journalistisk arbeid. Dette kan for eksempel tas inn i utkastets § 7-1 «Generelle vilkår». </w:t>
      </w:r>
      <w:r w:rsidR="00F73F9F" w:rsidRPr="00850827">
        <w:rPr>
          <w:sz w:val="22"/>
          <w:szCs w:val="22"/>
        </w:rPr>
        <w:br/>
      </w:r>
    </w:p>
    <w:p w14:paraId="2AFDA63A" w14:textId="49FB0DE3" w:rsidR="00696E03" w:rsidRPr="00850827" w:rsidRDefault="00696E03" w:rsidP="00696E03">
      <w:pPr>
        <w:pStyle w:val="Default"/>
        <w:rPr>
          <w:sz w:val="22"/>
          <w:szCs w:val="22"/>
        </w:rPr>
      </w:pPr>
      <w:r>
        <w:rPr>
          <w:b/>
          <w:bCs/>
          <w:sz w:val="22"/>
          <w:szCs w:val="22"/>
        </w:rPr>
        <w:t xml:space="preserve">- Det er opp til e-tjenesten å avgjøre hvem som </w:t>
      </w:r>
      <w:r w:rsidRPr="00850827">
        <w:rPr>
          <w:b/>
          <w:bCs/>
          <w:sz w:val="22"/>
          <w:szCs w:val="22"/>
        </w:rPr>
        <w:t>omfattes av tilretteleggingsplikten</w:t>
      </w:r>
      <w:r w:rsidRPr="00850827">
        <w:rPr>
          <w:sz w:val="22"/>
          <w:szCs w:val="22"/>
        </w:rPr>
        <w:t xml:space="preserve"> </w:t>
      </w:r>
      <w:r w:rsidRPr="00850827">
        <w:rPr>
          <w:sz w:val="22"/>
          <w:szCs w:val="22"/>
        </w:rPr>
        <w:br/>
        <w:t xml:space="preserve">Tilbyderen etter § 7-2 gjelder ikke bare tilbydere som er omfattet av e-komloven, men også andre «tilbydere av internettbaserte kommunikasjons- og meldingstjenester som er tilgjengelig for allmennheten». Med andre ord vil det </w:t>
      </w:r>
      <w:r>
        <w:rPr>
          <w:sz w:val="22"/>
          <w:szCs w:val="22"/>
        </w:rPr>
        <w:t>v</w:t>
      </w:r>
      <w:r w:rsidRPr="00850827">
        <w:rPr>
          <w:sz w:val="22"/>
          <w:szCs w:val="22"/>
        </w:rPr>
        <w:t>ære opp til E</w:t>
      </w:r>
      <w:r w:rsidR="00740FF6">
        <w:rPr>
          <w:sz w:val="22"/>
          <w:szCs w:val="22"/>
        </w:rPr>
        <w:t xml:space="preserve">tterretningstjenesten </w:t>
      </w:r>
      <w:r w:rsidRPr="00850827">
        <w:rPr>
          <w:sz w:val="22"/>
          <w:szCs w:val="22"/>
        </w:rPr>
        <w:t xml:space="preserve">å avgjøre hvem som har plikt til å tilrettelegge.  Lysne II-utvalget foreslo at kun tilbydere av kabel skulle være omfattet. </w:t>
      </w:r>
      <w:r>
        <w:rPr>
          <w:sz w:val="22"/>
          <w:szCs w:val="22"/>
        </w:rPr>
        <w:t>Med andre ord – muligheten til å drive</w:t>
      </w:r>
      <w:r w:rsidRPr="00850827">
        <w:rPr>
          <w:sz w:val="22"/>
          <w:szCs w:val="22"/>
        </w:rPr>
        <w:t xml:space="preserve"> overvåking blir større enn det Lysne II anbefalte. </w:t>
      </w:r>
      <w:r>
        <w:rPr>
          <w:sz w:val="22"/>
          <w:szCs w:val="22"/>
        </w:rPr>
        <w:t>Det øker behovet for kontroll.</w:t>
      </w:r>
      <w:r w:rsidRPr="00850827">
        <w:rPr>
          <w:sz w:val="22"/>
          <w:szCs w:val="22"/>
        </w:rPr>
        <w:br/>
      </w:r>
    </w:p>
    <w:p w14:paraId="0D6303F9" w14:textId="4975F9DD" w:rsidR="00606D9C" w:rsidRPr="00850827" w:rsidRDefault="0032135B" w:rsidP="00606D9C">
      <w:pPr>
        <w:pStyle w:val="Default"/>
        <w:rPr>
          <w:b/>
          <w:bCs/>
          <w:i/>
          <w:iCs/>
          <w:sz w:val="22"/>
          <w:szCs w:val="22"/>
        </w:rPr>
      </w:pPr>
      <w:r>
        <w:rPr>
          <w:b/>
          <w:bCs/>
          <w:sz w:val="22"/>
          <w:szCs w:val="22"/>
        </w:rPr>
        <w:lastRenderedPageBreak/>
        <w:t xml:space="preserve">- </w:t>
      </w:r>
      <w:r w:rsidRPr="0032135B">
        <w:rPr>
          <w:b/>
          <w:bCs/>
          <w:sz w:val="22"/>
          <w:szCs w:val="22"/>
        </w:rPr>
        <w:t>Tilretteleggingsplikten bør underlegges domstolskontroll</w:t>
      </w:r>
      <w:r>
        <w:rPr>
          <w:b/>
          <w:bCs/>
          <w:i/>
          <w:iCs/>
          <w:sz w:val="22"/>
          <w:szCs w:val="22"/>
        </w:rPr>
        <w:t xml:space="preserve"> </w:t>
      </w:r>
      <w:r w:rsidR="00DF25B1" w:rsidRPr="00850827">
        <w:rPr>
          <w:sz w:val="22"/>
          <w:szCs w:val="22"/>
        </w:rPr>
        <w:br/>
      </w:r>
      <w:r w:rsidR="00EB7461" w:rsidRPr="00850827">
        <w:rPr>
          <w:sz w:val="22"/>
          <w:szCs w:val="22"/>
        </w:rPr>
        <w:t>En beslutning om</w:t>
      </w:r>
      <w:r w:rsidR="00CF2275" w:rsidRPr="00850827">
        <w:rPr>
          <w:sz w:val="22"/>
          <w:szCs w:val="22"/>
        </w:rPr>
        <w:t xml:space="preserve"> tilrettelegging er et alvorlig inngrep i retten til å kommunisere fritt</w:t>
      </w:r>
      <w:r w:rsidR="00EB7461" w:rsidRPr="00850827">
        <w:rPr>
          <w:sz w:val="22"/>
          <w:szCs w:val="22"/>
        </w:rPr>
        <w:t xml:space="preserve">. </w:t>
      </w:r>
      <w:r w:rsidR="00606D9C" w:rsidRPr="00850827">
        <w:rPr>
          <w:sz w:val="22"/>
          <w:szCs w:val="22"/>
        </w:rPr>
        <w:t xml:space="preserve">Etter forslaget </w:t>
      </w:r>
      <w:r w:rsidR="00381036">
        <w:rPr>
          <w:sz w:val="22"/>
          <w:szCs w:val="22"/>
        </w:rPr>
        <w:t>kan</w:t>
      </w:r>
      <w:r w:rsidR="00606D9C" w:rsidRPr="00850827">
        <w:rPr>
          <w:sz w:val="22"/>
          <w:szCs w:val="22"/>
        </w:rPr>
        <w:t xml:space="preserve"> sjefen for Etterretningstjenesten kreve tilrettelegging når det er </w:t>
      </w:r>
      <w:r w:rsidR="00EB7461" w:rsidRPr="00850827">
        <w:rPr>
          <w:sz w:val="22"/>
          <w:szCs w:val="22"/>
        </w:rPr>
        <w:t>«nødvendig» (§ 7-1 a (2</w:t>
      </w:r>
      <w:r w:rsidR="00606D9C" w:rsidRPr="00850827">
        <w:rPr>
          <w:sz w:val="22"/>
          <w:szCs w:val="22"/>
        </w:rPr>
        <w:t>)</w:t>
      </w:r>
      <w:r w:rsidR="006C26F2">
        <w:rPr>
          <w:sz w:val="22"/>
          <w:szCs w:val="22"/>
        </w:rPr>
        <w:t xml:space="preserve">) </w:t>
      </w:r>
      <w:r w:rsidR="00606D9C" w:rsidRPr="00850827">
        <w:rPr>
          <w:sz w:val="22"/>
          <w:szCs w:val="22"/>
        </w:rPr>
        <w:t>og forholdsmessig</w:t>
      </w:r>
      <w:r w:rsidR="00EB7461" w:rsidRPr="00850827">
        <w:rPr>
          <w:sz w:val="22"/>
          <w:szCs w:val="22"/>
        </w:rPr>
        <w:t xml:space="preserve">. </w:t>
      </w:r>
      <w:r>
        <w:rPr>
          <w:sz w:val="22"/>
          <w:szCs w:val="22"/>
        </w:rPr>
        <w:t>Vi mener klagerett til klag</w:t>
      </w:r>
      <w:r w:rsidR="00606D9C" w:rsidRPr="00850827">
        <w:rPr>
          <w:sz w:val="22"/>
          <w:szCs w:val="22"/>
        </w:rPr>
        <w:t>erett</w:t>
      </w:r>
      <w:r w:rsidR="00381036">
        <w:rPr>
          <w:sz w:val="22"/>
          <w:szCs w:val="22"/>
        </w:rPr>
        <w:t xml:space="preserve"> og etterfølgende EOS-kontroll</w:t>
      </w:r>
      <w:r w:rsidR="00606D9C" w:rsidRPr="00850827">
        <w:rPr>
          <w:sz w:val="22"/>
          <w:szCs w:val="22"/>
        </w:rPr>
        <w:t xml:space="preserve">, </w:t>
      </w:r>
      <w:r>
        <w:rPr>
          <w:sz w:val="22"/>
          <w:szCs w:val="22"/>
        </w:rPr>
        <w:t xml:space="preserve">ikke gir en god nok kontroll på dette området. </w:t>
      </w:r>
      <w:r w:rsidR="00696E03">
        <w:rPr>
          <w:b/>
          <w:bCs/>
          <w:sz w:val="22"/>
          <w:szCs w:val="22"/>
        </w:rPr>
        <w:t xml:space="preserve">Vi foreslår derfor at alle krav om tilrettelegging underlegges domstolskontroll der domstolen skal ta stilling til følgende: </w:t>
      </w:r>
      <w:r w:rsidR="00696E03">
        <w:rPr>
          <w:b/>
          <w:bCs/>
          <w:sz w:val="22"/>
          <w:szCs w:val="22"/>
        </w:rPr>
        <w:br/>
      </w:r>
      <w:r w:rsidR="00696E03">
        <w:rPr>
          <w:sz w:val="22"/>
          <w:szCs w:val="22"/>
        </w:rPr>
        <w:br/>
        <w:t xml:space="preserve">*At tilrettelegging er nødvendig og forholdsmessig. </w:t>
      </w:r>
      <w:r w:rsidR="00696E03">
        <w:rPr>
          <w:sz w:val="22"/>
          <w:szCs w:val="22"/>
        </w:rPr>
        <w:br/>
        <w:t xml:space="preserve">* omfanget av tilrettelegging – herunder forholdet til kryptering. </w:t>
      </w:r>
      <w:r w:rsidR="00696E03">
        <w:rPr>
          <w:sz w:val="22"/>
          <w:szCs w:val="22"/>
        </w:rPr>
        <w:br/>
        <w:t>* hvor lenge tilretteleggingsplikten skal vare.</w:t>
      </w:r>
    </w:p>
    <w:p w14:paraId="325F3988" w14:textId="69745A27" w:rsidR="00CF2275" w:rsidRPr="00850827" w:rsidRDefault="00696E03" w:rsidP="006204E2">
      <w:pPr>
        <w:pStyle w:val="Default"/>
        <w:rPr>
          <w:sz w:val="22"/>
          <w:szCs w:val="22"/>
        </w:rPr>
      </w:pPr>
      <w:r>
        <w:rPr>
          <w:b/>
          <w:bCs/>
          <w:sz w:val="22"/>
          <w:szCs w:val="22"/>
        </w:rPr>
        <w:br/>
      </w:r>
      <w:r w:rsidR="00606D9C" w:rsidRPr="00696E03">
        <w:rPr>
          <w:b/>
          <w:bCs/>
          <w:sz w:val="22"/>
          <w:szCs w:val="22"/>
        </w:rPr>
        <w:t xml:space="preserve">Subsidiært </w:t>
      </w:r>
      <w:r w:rsidR="00606D9C" w:rsidRPr="00850827">
        <w:rPr>
          <w:sz w:val="22"/>
          <w:szCs w:val="22"/>
        </w:rPr>
        <w:t xml:space="preserve">kan domstolskontrollen begrenses til tilbydere som ikke er omfattet av </w:t>
      </w:r>
      <w:proofErr w:type="spellStart"/>
      <w:r w:rsidR="00606D9C" w:rsidRPr="00850827">
        <w:rPr>
          <w:sz w:val="22"/>
          <w:szCs w:val="22"/>
        </w:rPr>
        <w:t>ekomloven</w:t>
      </w:r>
      <w:proofErr w:type="spellEnd"/>
      <w:r w:rsidR="00606D9C" w:rsidRPr="00850827">
        <w:rPr>
          <w:sz w:val="22"/>
          <w:szCs w:val="22"/>
        </w:rPr>
        <w:t xml:space="preserve">. </w:t>
      </w:r>
    </w:p>
    <w:p w14:paraId="43D508CD" w14:textId="2BA2F820" w:rsidR="00CF2275" w:rsidRPr="00850827" w:rsidRDefault="00CF2275" w:rsidP="006204E2">
      <w:pPr>
        <w:pStyle w:val="Default"/>
        <w:rPr>
          <w:sz w:val="22"/>
          <w:szCs w:val="22"/>
        </w:rPr>
      </w:pPr>
    </w:p>
    <w:p w14:paraId="702C7523" w14:textId="0E7256EE" w:rsidR="0032135B" w:rsidRDefault="00D30C36" w:rsidP="006C26F2">
      <w:pPr>
        <w:pStyle w:val="Default"/>
        <w:rPr>
          <w:sz w:val="22"/>
          <w:szCs w:val="22"/>
        </w:rPr>
      </w:pPr>
      <w:r>
        <w:rPr>
          <w:b/>
          <w:bCs/>
          <w:sz w:val="22"/>
          <w:szCs w:val="22"/>
        </w:rPr>
        <w:t xml:space="preserve">- </w:t>
      </w:r>
      <w:r w:rsidR="00696E03">
        <w:rPr>
          <w:b/>
          <w:bCs/>
          <w:sz w:val="22"/>
          <w:szCs w:val="22"/>
        </w:rPr>
        <w:t>Forholdet til</w:t>
      </w:r>
      <w:r w:rsidR="00392953" w:rsidRPr="00696E03">
        <w:rPr>
          <w:b/>
          <w:bCs/>
          <w:sz w:val="22"/>
          <w:szCs w:val="22"/>
        </w:rPr>
        <w:t xml:space="preserve"> kryptert kommunikasjon </w:t>
      </w:r>
      <w:r w:rsidR="00696E03">
        <w:rPr>
          <w:b/>
          <w:bCs/>
          <w:sz w:val="22"/>
          <w:szCs w:val="22"/>
        </w:rPr>
        <w:t xml:space="preserve">må gjøres tydeligere i loven </w:t>
      </w:r>
      <w:r w:rsidR="00392953" w:rsidRPr="00696E03">
        <w:rPr>
          <w:b/>
          <w:bCs/>
          <w:sz w:val="22"/>
          <w:szCs w:val="22"/>
        </w:rPr>
        <w:t>- § 7-2 bokstav e:</w:t>
      </w:r>
      <w:r w:rsidR="00392953" w:rsidRPr="00850827">
        <w:rPr>
          <w:b/>
          <w:bCs/>
          <w:i/>
          <w:iCs/>
          <w:sz w:val="22"/>
          <w:szCs w:val="22"/>
        </w:rPr>
        <w:t xml:space="preserve"> </w:t>
      </w:r>
      <w:r w:rsidR="00381036">
        <w:rPr>
          <w:b/>
          <w:bCs/>
          <w:i/>
          <w:iCs/>
          <w:sz w:val="22"/>
          <w:szCs w:val="22"/>
        </w:rPr>
        <w:br/>
      </w:r>
      <w:r w:rsidR="00606D9C" w:rsidRPr="00850827">
        <w:rPr>
          <w:sz w:val="22"/>
          <w:szCs w:val="22"/>
        </w:rPr>
        <w:t xml:space="preserve">Etterretningstjenesten kan få tilgang til </w:t>
      </w:r>
      <w:r w:rsidR="00392953" w:rsidRPr="00850827">
        <w:rPr>
          <w:sz w:val="22"/>
          <w:szCs w:val="22"/>
        </w:rPr>
        <w:t xml:space="preserve">kommunikasjon </w:t>
      </w:r>
      <w:r w:rsidR="00940F50" w:rsidRPr="00850827">
        <w:rPr>
          <w:sz w:val="22"/>
          <w:szCs w:val="22"/>
        </w:rPr>
        <w:t>«</w:t>
      </w:r>
      <w:r w:rsidR="00392953" w:rsidRPr="00850827">
        <w:rPr>
          <w:sz w:val="22"/>
          <w:szCs w:val="22"/>
        </w:rPr>
        <w:t xml:space="preserve">uten hinder av linkkryptering eller </w:t>
      </w:r>
      <w:r w:rsidR="00940F50" w:rsidRPr="00850827">
        <w:rPr>
          <w:sz w:val="22"/>
          <w:szCs w:val="22"/>
        </w:rPr>
        <w:t>tilsvarende</w:t>
      </w:r>
      <w:r w:rsidR="00392953" w:rsidRPr="00850827">
        <w:rPr>
          <w:sz w:val="22"/>
          <w:szCs w:val="22"/>
        </w:rPr>
        <w:t xml:space="preserve"> kryptering som tilbyder kontrollerer». </w:t>
      </w:r>
      <w:r w:rsidR="00940F50" w:rsidRPr="00850827">
        <w:rPr>
          <w:sz w:val="22"/>
          <w:szCs w:val="22"/>
        </w:rPr>
        <w:t xml:space="preserve">Departementet presiserer i forarbeidene </w:t>
      </w:r>
      <w:r w:rsidR="00381036">
        <w:rPr>
          <w:sz w:val="22"/>
          <w:szCs w:val="22"/>
        </w:rPr>
        <w:t xml:space="preserve">at </w:t>
      </w:r>
      <w:r w:rsidR="00940F50" w:rsidRPr="00850827">
        <w:rPr>
          <w:sz w:val="22"/>
          <w:szCs w:val="22"/>
        </w:rPr>
        <w:t>dette er b</w:t>
      </w:r>
      <w:r w:rsidR="00381036">
        <w:rPr>
          <w:sz w:val="22"/>
          <w:szCs w:val="22"/>
        </w:rPr>
        <w:t>e</w:t>
      </w:r>
      <w:r w:rsidR="00940F50" w:rsidRPr="00850827">
        <w:rPr>
          <w:sz w:val="22"/>
          <w:szCs w:val="22"/>
        </w:rPr>
        <w:t>grenset til speiling av den informasjonen tilbyder besitter og a</w:t>
      </w:r>
      <w:r w:rsidR="00392953" w:rsidRPr="00850827">
        <w:rPr>
          <w:sz w:val="22"/>
          <w:szCs w:val="22"/>
        </w:rPr>
        <w:t>t tilbydere ikke skal pålegges</w:t>
      </w:r>
      <w:r w:rsidR="00940F50" w:rsidRPr="00850827">
        <w:rPr>
          <w:sz w:val="22"/>
          <w:szCs w:val="22"/>
        </w:rPr>
        <w:t xml:space="preserve"> lagring eller</w:t>
      </w:r>
      <w:r w:rsidR="00392953" w:rsidRPr="00850827">
        <w:rPr>
          <w:sz w:val="22"/>
          <w:szCs w:val="22"/>
        </w:rPr>
        <w:t xml:space="preserve"> å </w:t>
      </w:r>
      <w:r w:rsidR="006204E2" w:rsidRPr="00850827">
        <w:rPr>
          <w:sz w:val="22"/>
          <w:szCs w:val="22"/>
        </w:rPr>
        <w:t>stille med bakdører</w:t>
      </w:r>
      <w:r w:rsidR="000D0722">
        <w:rPr>
          <w:sz w:val="22"/>
          <w:szCs w:val="22"/>
        </w:rPr>
        <w:t xml:space="preserve"> el. Et så viktig punkt kan ikke </w:t>
      </w:r>
      <w:proofErr w:type="gramStart"/>
      <w:r w:rsidR="000D0722">
        <w:rPr>
          <w:sz w:val="22"/>
          <w:szCs w:val="22"/>
        </w:rPr>
        <w:t>fremgå</w:t>
      </w:r>
      <w:proofErr w:type="gramEnd"/>
      <w:r w:rsidR="000D0722">
        <w:rPr>
          <w:sz w:val="22"/>
          <w:szCs w:val="22"/>
        </w:rPr>
        <w:t xml:space="preserve"> i forarbeidene. Vi mener dette må inn i loven som et eget punkt</w:t>
      </w:r>
      <w:r w:rsidR="00696E03">
        <w:rPr>
          <w:sz w:val="22"/>
          <w:szCs w:val="22"/>
        </w:rPr>
        <w:t xml:space="preserve">. </w:t>
      </w:r>
      <w:r w:rsidR="000D0722">
        <w:rPr>
          <w:sz w:val="22"/>
          <w:szCs w:val="22"/>
        </w:rPr>
        <w:t xml:space="preserve">Dette for å sikre retten til helt fortrolig </w:t>
      </w:r>
      <w:r w:rsidR="00740FF6">
        <w:rPr>
          <w:sz w:val="22"/>
          <w:szCs w:val="22"/>
        </w:rPr>
        <w:t>kommunikasjon via ende-til-ende kryptering</w:t>
      </w:r>
      <w:r w:rsidR="000D0722">
        <w:rPr>
          <w:sz w:val="22"/>
          <w:szCs w:val="22"/>
        </w:rPr>
        <w:t xml:space="preserve">. </w:t>
      </w:r>
      <w:r w:rsidR="00696E03">
        <w:rPr>
          <w:sz w:val="22"/>
          <w:szCs w:val="22"/>
        </w:rPr>
        <w:t xml:space="preserve">En klar avgrensing her bør tas inn i § 7-2 bokstav e. </w:t>
      </w:r>
      <w:r w:rsidR="000D0722">
        <w:rPr>
          <w:sz w:val="22"/>
          <w:szCs w:val="22"/>
        </w:rPr>
        <w:br/>
      </w:r>
      <w:r w:rsidR="006204E2" w:rsidRPr="00850827">
        <w:rPr>
          <w:sz w:val="22"/>
          <w:szCs w:val="22"/>
        </w:rPr>
        <w:br/>
      </w:r>
      <w:r>
        <w:rPr>
          <w:b/>
          <w:bCs/>
          <w:sz w:val="22"/>
          <w:szCs w:val="22"/>
        </w:rPr>
        <w:t xml:space="preserve">- Loven bør forby lagring lenger enn nødvendig </w:t>
      </w:r>
      <w:r w:rsidR="00381036" w:rsidRPr="00D30C36">
        <w:rPr>
          <w:b/>
          <w:bCs/>
          <w:sz w:val="22"/>
          <w:szCs w:val="22"/>
        </w:rPr>
        <w:t>- § 7-7</w:t>
      </w:r>
      <w:r w:rsidR="00381036" w:rsidRPr="00381036">
        <w:rPr>
          <w:b/>
          <w:bCs/>
          <w:i/>
          <w:iCs/>
          <w:sz w:val="22"/>
          <w:szCs w:val="22"/>
        </w:rPr>
        <w:t xml:space="preserve"> </w:t>
      </w:r>
      <w:r w:rsidR="00381036" w:rsidRPr="00381036">
        <w:rPr>
          <w:b/>
          <w:bCs/>
          <w:i/>
          <w:iCs/>
          <w:sz w:val="22"/>
          <w:szCs w:val="22"/>
        </w:rPr>
        <w:br/>
      </w:r>
      <w:r w:rsidR="000D0722">
        <w:rPr>
          <w:sz w:val="22"/>
          <w:szCs w:val="22"/>
        </w:rPr>
        <w:t xml:space="preserve">NP foreslår </w:t>
      </w:r>
      <w:r>
        <w:rPr>
          <w:sz w:val="22"/>
          <w:szCs w:val="22"/>
        </w:rPr>
        <w:t xml:space="preserve">en lovbestemmelse som sikrer at </w:t>
      </w:r>
      <w:r w:rsidR="000D0722">
        <w:rPr>
          <w:sz w:val="22"/>
          <w:szCs w:val="22"/>
        </w:rPr>
        <w:t xml:space="preserve">dataene </w:t>
      </w:r>
      <w:r>
        <w:rPr>
          <w:sz w:val="22"/>
          <w:szCs w:val="22"/>
        </w:rPr>
        <w:t xml:space="preserve">som innhentes gjennom tilrettelagt innhenting ikke lagres lenger enn grunnlaget rekker. Etter forslaget kan de lagres i 18 mnd.  NP mener man bør ta inn i loven at grunnlaget må behovsprøves </w:t>
      </w:r>
      <w:r w:rsidR="00740FF6">
        <w:rPr>
          <w:sz w:val="22"/>
          <w:szCs w:val="22"/>
        </w:rPr>
        <w:t>jevnlig</w:t>
      </w:r>
      <w:r>
        <w:rPr>
          <w:sz w:val="22"/>
          <w:szCs w:val="22"/>
        </w:rPr>
        <w:t xml:space="preserve"> og slettes når vilkårene ikke lenger er oppfylt.  </w:t>
      </w:r>
    </w:p>
    <w:p w14:paraId="1CC3AA11" w14:textId="77777777" w:rsidR="0032135B" w:rsidRDefault="0032135B" w:rsidP="006C26F2">
      <w:pPr>
        <w:pStyle w:val="Default"/>
        <w:rPr>
          <w:sz w:val="22"/>
          <w:szCs w:val="22"/>
        </w:rPr>
      </w:pPr>
    </w:p>
    <w:p w14:paraId="347A3CCC" w14:textId="0270F4BC" w:rsidR="0032135B" w:rsidRPr="00850827" w:rsidRDefault="0032135B" w:rsidP="0032135B">
      <w:pPr>
        <w:pStyle w:val="Default"/>
        <w:rPr>
          <w:i/>
          <w:iCs/>
          <w:sz w:val="22"/>
          <w:szCs w:val="22"/>
        </w:rPr>
      </w:pPr>
      <w:r>
        <w:rPr>
          <w:b/>
          <w:bCs/>
          <w:sz w:val="22"/>
          <w:szCs w:val="22"/>
        </w:rPr>
        <w:t>3</w:t>
      </w:r>
      <w:r w:rsidRPr="00850827">
        <w:rPr>
          <w:b/>
          <w:bCs/>
          <w:sz w:val="22"/>
          <w:szCs w:val="22"/>
        </w:rPr>
        <w:t xml:space="preserve">. Grunnvilkårene i kapittel 5 </w:t>
      </w:r>
      <w:r w:rsidRPr="0032135B">
        <w:rPr>
          <w:b/>
          <w:bCs/>
          <w:sz w:val="22"/>
          <w:szCs w:val="22"/>
        </w:rPr>
        <w:t>angir en lav terskel for inngrep</w:t>
      </w:r>
      <w:r w:rsidRPr="00850827">
        <w:rPr>
          <w:sz w:val="22"/>
          <w:szCs w:val="22"/>
        </w:rPr>
        <w:br/>
        <w:t xml:space="preserve">Lovforslaget legger til grunn en lav terskel for iverksetting av målsøking og målrettet innhenting (grunnvilkårene i </w:t>
      </w:r>
      <w:proofErr w:type="spellStart"/>
      <w:r w:rsidRPr="00850827">
        <w:rPr>
          <w:sz w:val="22"/>
          <w:szCs w:val="22"/>
        </w:rPr>
        <w:t>kap</w:t>
      </w:r>
      <w:proofErr w:type="spellEnd"/>
      <w:r w:rsidRPr="00850827">
        <w:rPr>
          <w:sz w:val="22"/>
          <w:szCs w:val="22"/>
        </w:rPr>
        <w:t xml:space="preserve"> 5), til tross for at dette er et alvorlig inngrep i privatliv og ytringsfrihet, jf. følgende sitat fra punkt 9.3.3 i forarbeidene: </w:t>
      </w:r>
    </w:p>
    <w:p w14:paraId="507B1EFF" w14:textId="77777777" w:rsidR="0032135B" w:rsidRPr="00850827" w:rsidRDefault="0032135B" w:rsidP="0032135B">
      <w:pPr>
        <w:pStyle w:val="Default"/>
        <w:ind w:left="708"/>
        <w:rPr>
          <w:i/>
          <w:iCs/>
          <w:sz w:val="22"/>
          <w:szCs w:val="22"/>
        </w:rPr>
      </w:pPr>
      <w:r w:rsidRPr="00850827">
        <w:rPr>
          <w:i/>
          <w:iCs/>
          <w:sz w:val="22"/>
          <w:szCs w:val="22"/>
        </w:rPr>
        <w:t xml:space="preserve">«På grunn av disse særtrekkene mener departementet at terskelen for når tjenesten kan innhente informasjon, må være lav. Dette er avgjørende for at tjenesten skal kunne løse oppgavene som følger av lovforslagets kapittel 3». </w:t>
      </w:r>
    </w:p>
    <w:p w14:paraId="0A972414" w14:textId="77777777" w:rsidR="0032135B" w:rsidRPr="00850827" w:rsidRDefault="0032135B" w:rsidP="0032135B">
      <w:pPr>
        <w:pStyle w:val="Default"/>
        <w:rPr>
          <w:sz w:val="22"/>
          <w:szCs w:val="22"/>
        </w:rPr>
      </w:pPr>
      <w:r w:rsidRPr="00850827">
        <w:rPr>
          <w:sz w:val="22"/>
          <w:szCs w:val="22"/>
        </w:rPr>
        <w:t xml:space="preserve">Dette øker behovet for domstolskontroll og uavhengig kontroll gjennom innsyn. Komiteen bør derfor prioritere å få inn denne type kontrollmekanismer så mange steder som mulig. </w:t>
      </w:r>
      <w:r w:rsidRPr="00850827">
        <w:rPr>
          <w:sz w:val="22"/>
          <w:szCs w:val="22"/>
        </w:rPr>
        <w:br/>
      </w:r>
    </w:p>
    <w:p w14:paraId="6A659CCD" w14:textId="2CBB34B5" w:rsidR="0032135B" w:rsidRDefault="00526155" w:rsidP="006C26F2">
      <w:pPr>
        <w:pStyle w:val="Default"/>
        <w:rPr>
          <w:sz w:val="22"/>
          <w:szCs w:val="22"/>
        </w:rPr>
      </w:pPr>
      <w:r>
        <w:rPr>
          <w:b/>
          <w:bCs/>
          <w:sz w:val="22"/>
          <w:szCs w:val="22"/>
        </w:rPr>
        <w:t xml:space="preserve">4. </w:t>
      </w:r>
      <w:r w:rsidRPr="00526155">
        <w:rPr>
          <w:b/>
          <w:bCs/>
          <w:sz w:val="22"/>
          <w:szCs w:val="22"/>
        </w:rPr>
        <w:t xml:space="preserve">Tilgang til opplysninger: </w:t>
      </w:r>
      <w:r w:rsidRPr="00526155">
        <w:rPr>
          <w:b/>
          <w:bCs/>
          <w:sz w:val="22"/>
          <w:szCs w:val="22"/>
        </w:rPr>
        <w:br/>
      </w:r>
      <w:r>
        <w:rPr>
          <w:sz w:val="22"/>
          <w:szCs w:val="22"/>
        </w:rPr>
        <w:t xml:space="preserve">NP støtter ikke forslaget om at offentlighetsloven ikke skal gjelde for </w:t>
      </w:r>
      <w:r w:rsidR="00740FF6">
        <w:rPr>
          <w:sz w:val="22"/>
          <w:szCs w:val="22"/>
        </w:rPr>
        <w:t>e-t</w:t>
      </w:r>
      <w:r>
        <w:rPr>
          <w:sz w:val="22"/>
          <w:szCs w:val="22"/>
        </w:rPr>
        <w:t xml:space="preserve">jenesten (§ 11-6). Dersom dette vedtas må man i det minste sikre offentlig tilgang til en del informasjon, som avgjørelser om tilrettelagt innhenting og klager på dette. For eksempel kan disse offentliggjøres etter en viss tid. </w:t>
      </w:r>
    </w:p>
    <w:p w14:paraId="5CF37233" w14:textId="77777777" w:rsidR="00740FF6" w:rsidRDefault="00740FF6" w:rsidP="006C26F2">
      <w:pPr>
        <w:pStyle w:val="Default"/>
        <w:rPr>
          <w:b/>
          <w:bCs/>
          <w:sz w:val="22"/>
          <w:szCs w:val="22"/>
        </w:rPr>
      </w:pPr>
    </w:p>
    <w:p w14:paraId="204DB01E" w14:textId="02F71BD5" w:rsidR="006C26F2" w:rsidRPr="0032135B" w:rsidRDefault="00526155" w:rsidP="006C26F2">
      <w:pPr>
        <w:pStyle w:val="Default"/>
        <w:rPr>
          <w:sz w:val="22"/>
          <w:szCs w:val="22"/>
        </w:rPr>
      </w:pPr>
      <w:r>
        <w:rPr>
          <w:b/>
          <w:bCs/>
          <w:sz w:val="22"/>
          <w:szCs w:val="22"/>
        </w:rPr>
        <w:t>5</w:t>
      </w:r>
      <w:r w:rsidR="0032135B">
        <w:rPr>
          <w:b/>
          <w:bCs/>
          <w:sz w:val="22"/>
          <w:szCs w:val="22"/>
        </w:rPr>
        <w:t xml:space="preserve">. </w:t>
      </w:r>
      <w:r w:rsidR="006C26F2" w:rsidRPr="00850827">
        <w:rPr>
          <w:b/>
          <w:bCs/>
          <w:sz w:val="22"/>
          <w:szCs w:val="22"/>
        </w:rPr>
        <w:t xml:space="preserve">Behov for å skille mellom </w:t>
      </w:r>
      <w:r w:rsidR="0032135B">
        <w:rPr>
          <w:b/>
          <w:bCs/>
          <w:sz w:val="22"/>
          <w:szCs w:val="22"/>
        </w:rPr>
        <w:t xml:space="preserve">etterretningstjenestens </w:t>
      </w:r>
      <w:r w:rsidR="006C26F2" w:rsidRPr="00850827">
        <w:rPr>
          <w:b/>
          <w:bCs/>
          <w:sz w:val="22"/>
          <w:szCs w:val="22"/>
        </w:rPr>
        <w:t xml:space="preserve">oppgaver og metoder?   </w:t>
      </w:r>
    </w:p>
    <w:p w14:paraId="5F6A44C4" w14:textId="77777777" w:rsidR="006C26F2" w:rsidRPr="00850827" w:rsidRDefault="006C26F2" w:rsidP="006C26F2">
      <w:pPr>
        <w:pStyle w:val="Default"/>
        <w:rPr>
          <w:sz w:val="22"/>
          <w:szCs w:val="22"/>
        </w:rPr>
      </w:pPr>
      <w:r w:rsidRPr="00850827">
        <w:rPr>
          <w:sz w:val="22"/>
          <w:szCs w:val="22"/>
        </w:rPr>
        <w:t xml:space="preserve">Komiteen bør diskutere om det er rimelig at alle oppgavene til e-tjenesten (utkastets </w:t>
      </w:r>
      <w:proofErr w:type="spellStart"/>
      <w:r w:rsidRPr="00850827">
        <w:rPr>
          <w:sz w:val="22"/>
          <w:szCs w:val="22"/>
        </w:rPr>
        <w:t>kap</w:t>
      </w:r>
      <w:proofErr w:type="spellEnd"/>
      <w:r w:rsidRPr="00850827">
        <w:rPr>
          <w:sz w:val="22"/>
          <w:szCs w:val="22"/>
        </w:rPr>
        <w:t xml:space="preserve"> 3) skal gi grunnlag for alle de inngripende metodene som foreslås. Man kan for eksempel skille mellom situasjoner der formålet er å avdekke trusler mot Norge og det å innhente informasjon for å fremme e-tjenestens aksesser eller dele med utenlandske samarbeidspartnere. </w:t>
      </w:r>
    </w:p>
    <w:p w14:paraId="6C073187" w14:textId="4180CCEB" w:rsidR="00740FF6" w:rsidRPr="00850827" w:rsidRDefault="006C26F2">
      <w:pPr>
        <w:pStyle w:val="Default"/>
        <w:rPr>
          <w:sz w:val="22"/>
          <w:szCs w:val="22"/>
        </w:rPr>
      </w:pPr>
      <w:r w:rsidRPr="00850827">
        <w:rPr>
          <w:sz w:val="22"/>
          <w:szCs w:val="22"/>
        </w:rPr>
        <w:br/>
      </w:r>
      <w:bookmarkEnd w:id="0"/>
      <w:r w:rsidR="00833350">
        <w:rPr>
          <w:sz w:val="22"/>
          <w:szCs w:val="22"/>
        </w:rPr>
        <w:br/>
      </w:r>
      <w:r w:rsidR="00740FF6">
        <w:rPr>
          <w:sz w:val="22"/>
          <w:szCs w:val="22"/>
        </w:rPr>
        <w:t>Elin Floberghagen, generalsekretær</w:t>
      </w:r>
      <w:r w:rsidR="00872CE3">
        <w:rPr>
          <w:sz w:val="22"/>
          <w:szCs w:val="22"/>
        </w:rPr>
        <w:t>, 926 00 109</w:t>
      </w:r>
      <w:r w:rsidR="00740FF6">
        <w:rPr>
          <w:sz w:val="22"/>
          <w:szCs w:val="22"/>
        </w:rPr>
        <w:br/>
        <w:t xml:space="preserve">Kristine Foss, jurist, 48 11 02 68 </w:t>
      </w:r>
      <w:r w:rsidR="00740FF6">
        <w:rPr>
          <w:sz w:val="22"/>
          <w:szCs w:val="22"/>
        </w:rPr>
        <w:br/>
      </w:r>
    </w:p>
    <w:sectPr w:rsidR="00740FF6" w:rsidRPr="00850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E921B1F"/>
    <w:multiLevelType w:val="hybridMultilevel"/>
    <w:tmpl w:val="B610F13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D356B8"/>
    <w:multiLevelType w:val="hybridMultilevel"/>
    <w:tmpl w:val="8157EF4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96"/>
    <w:rsid w:val="00025C96"/>
    <w:rsid w:val="000D0722"/>
    <w:rsid w:val="0014429B"/>
    <w:rsid w:val="00152CC1"/>
    <w:rsid w:val="00155FC5"/>
    <w:rsid w:val="00206873"/>
    <w:rsid w:val="002665AD"/>
    <w:rsid w:val="002F6404"/>
    <w:rsid w:val="0032135B"/>
    <w:rsid w:val="00381036"/>
    <w:rsid w:val="00392953"/>
    <w:rsid w:val="00434127"/>
    <w:rsid w:val="00440ECF"/>
    <w:rsid w:val="00455D7E"/>
    <w:rsid w:val="005109DF"/>
    <w:rsid w:val="00526155"/>
    <w:rsid w:val="00556389"/>
    <w:rsid w:val="00606D9C"/>
    <w:rsid w:val="006204E2"/>
    <w:rsid w:val="00623B87"/>
    <w:rsid w:val="00696E03"/>
    <w:rsid w:val="006C26F2"/>
    <w:rsid w:val="00740FF6"/>
    <w:rsid w:val="008110C1"/>
    <w:rsid w:val="00833350"/>
    <w:rsid w:val="00850827"/>
    <w:rsid w:val="008658AD"/>
    <w:rsid w:val="00871CDD"/>
    <w:rsid w:val="00872CE3"/>
    <w:rsid w:val="008B74AE"/>
    <w:rsid w:val="008D69CD"/>
    <w:rsid w:val="008E3EDE"/>
    <w:rsid w:val="00940F50"/>
    <w:rsid w:val="009D4082"/>
    <w:rsid w:val="009D7755"/>
    <w:rsid w:val="009F786B"/>
    <w:rsid w:val="00A61A91"/>
    <w:rsid w:val="00A74317"/>
    <w:rsid w:val="00AC7428"/>
    <w:rsid w:val="00AD6E94"/>
    <w:rsid w:val="00B030C5"/>
    <w:rsid w:val="00B0521D"/>
    <w:rsid w:val="00B76E2C"/>
    <w:rsid w:val="00BB64EA"/>
    <w:rsid w:val="00C115A2"/>
    <w:rsid w:val="00C55CA1"/>
    <w:rsid w:val="00CB2BC6"/>
    <w:rsid w:val="00CC7CFF"/>
    <w:rsid w:val="00CF2275"/>
    <w:rsid w:val="00D30C36"/>
    <w:rsid w:val="00D62B51"/>
    <w:rsid w:val="00D91BF8"/>
    <w:rsid w:val="00DC788D"/>
    <w:rsid w:val="00DF25B1"/>
    <w:rsid w:val="00EB7461"/>
    <w:rsid w:val="00EC37AF"/>
    <w:rsid w:val="00F73F9F"/>
    <w:rsid w:val="00FA64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3CB1"/>
  <w15:chartTrackingRefBased/>
  <w15:docId w15:val="{C72BEBCB-F612-4BD0-BC5C-A9BD4D65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2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AD6E94"/>
    <w:pPr>
      <w:autoSpaceDE w:val="0"/>
      <w:autoSpaceDN w:val="0"/>
      <w:adjustRightInd w:val="0"/>
      <w:spacing w:after="0" w:line="240" w:lineRule="auto"/>
    </w:pPr>
    <w:rPr>
      <w:rFonts w:ascii="Calibri" w:hAnsi="Calibri" w:cs="Calibri"/>
      <w:color w:val="000000"/>
      <w:sz w:val="24"/>
      <w:szCs w:val="24"/>
    </w:rPr>
  </w:style>
  <w:style w:type="character" w:customStyle="1" w:styleId="Overskrift1Tegn">
    <w:name w:val="Overskrift 1 Tegn"/>
    <w:basedOn w:val="Standardskriftforavsnitt"/>
    <w:link w:val="Overskrift1"/>
    <w:uiPriority w:val="9"/>
    <w:rsid w:val="006204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7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4663</Characters>
  <Application>Microsoft Office Word</Application>
  <DocSecurity>4</DocSecurity>
  <Lines>38</Lines>
  <Paragraphs>11</Paragraphs>
  <ScaleCrop>false</ScaleCrop>
  <HeadingPairs>
    <vt:vector size="4" baseType="variant">
      <vt:variant>
        <vt:lpstr>Tittel</vt:lpstr>
      </vt:variant>
      <vt:variant>
        <vt:i4>1</vt:i4>
      </vt:variant>
      <vt:variant>
        <vt:lpstr>Overskrifter</vt:lpstr>
      </vt:variant>
      <vt:variant>
        <vt:i4>1</vt:i4>
      </vt:variant>
    </vt:vector>
  </HeadingPairs>
  <TitlesOfParts>
    <vt:vector size="2" baseType="lpstr">
      <vt:lpstr/>
      <vt:lpstr>Komitehøring – Lov om Etterretningstjenesten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Foss</dc:creator>
  <cp:keywords/>
  <dc:description/>
  <cp:lastModifiedBy>Arne Jensen</cp:lastModifiedBy>
  <cp:revision>2</cp:revision>
  <cp:lastPrinted>2020-05-25T08:27:00Z</cp:lastPrinted>
  <dcterms:created xsi:type="dcterms:W3CDTF">2020-05-25T08:27:00Z</dcterms:created>
  <dcterms:modified xsi:type="dcterms:W3CDTF">2020-05-25T08:27:00Z</dcterms:modified>
</cp:coreProperties>
</file>