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5F8" w:rsidRDefault="00FA1A5D" w:rsidP="00CA213C">
      <w:pPr>
        <w:pStyle w:val="Overskrift3"/>
      </w:pPr>
      <w:r w:rsidRPr="009A0502">
        <w:rPr>
          <w:noProof/>
        </w:rPr>
        <w:drawing>
          <wp:inline distT="0" distB="0" distL="0" distR="0" wp14:anchorId="03667F22" wp14:editId="0E27EE9B">
            <wp:extent cx="1418590" cy="476250"/>
            <wp:effectExtent l="0" t="0" r="0" b="0"/>
            <wp:docPr id="10" name="Bilde 1" descr="norsk_presseforbund_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norsk_presseforbund_s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8590" cy="476250"/>
                    </a:xfrm>
                    <a:prstGeom prst="rect">
                      <a:avLst/>
                    </a:prstGeom>
                    <a:noFill/>
                    <a:ln>
                      <a:noFill/>
                    </a:ln>
                  </pic:spPr>
                </pic:pic>
              </a:graphicData>
            </a:graphic>
          </wp:inline>
        </w:drawing>
      </w:r>
      <w:r w:rsidR="00F335F8">
        <w:rPr>
          <w:noProof/>
        </w:rPr>
        <w:t xml:space="preserve">  </w:t>
      </w:r>
      <w:r w:rsidRPr="009A0502">
        <w:rPr>
          <w:noProof/>
        </w:rPr>
        <w:drawing>
          <wp:inline distT="0" distB="0" distL="0" distR="0" wp14:anchorId="2CF96D14" wp14:editId="77DA57A7">
            <wp:extent cx="1932305" cy="363220"/>
            <wp:effectExtent l="0" t="0" r="0" b="0"/>
            <wp:docPr id="2" name="Bilde 5" descr="njlogo2014_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njlogo2014_black_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2305" cy="363220"/>
                    </a:xfrm>
                    <a:prstGeom prst="rect">
                      <a:avLst/>
                    </a:prstGeom>
                    <a:noFill/>
                    <a:ln>
                      <a:noFill/>
                    </a:ln>
                  </pic:spPr>
                </pic:pic>
              </a:graphicData>
            </a:graphic>
          </wp:inline>
        </w:drawing>
      </w:r>
      <w:r w:rsidR="00F335F8">
        <w:rPr>
          <w:noProof/>
        </w:rPr>
        <w:t xml:space="preserve">   </w:t>
      </w:r>
      <w:r w:rsidRPr="009A0502">
        <w:rPr>
          <w:noProof/>
        </w:rPr>
        <w:drawing>
          <wp:inline distT="0" distB="0" distL="0" distR="0" wp14:anchorId="0E619523" wp14:editId="50A30FBE">
            <wp:extent cx="1960880" cy="476250"/>
            <wp:effectExtent l="0" t="0" r="0" b="0"/>
            <wp:docPr id="3" name="Bilde 3" descr="Norsk Redaktørforening-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Norsk Redaktørforening-logo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0880" cy="476250"/>
                    </a:xfrm>
                    <a:prstGeom prst="rect">
                      <a:avLst/>
                    </a:prstGeom>
                    <a:noFill/>
                    <a:ln>
                      <a:noFill/>
                    </a:ln>
                  </pic:spPr>
                </pic:pic>
              </a:graphicData>
            </a:graphic>
          </wp:inline>
        </w:drawing>
      </w:r>
    </w:p>
    <w:p w:rsidR="00F335F8" w:rsidRPr="00347C75" w:rsidRDefault="00F335F8" w:rsidP="00F335F8">
      <w:pPr>
        <w:rPr>
          <w:rFonts w:ascii="Calibri Light" w:hAnsi="Calibri Light"/>
          <w:szCs w:val="24"/>
        </w:rPr>
      </w:pPr>
    </w:p>
    <w:p w:rsidR="00F335F8" w:rsidRPr="00347C75" w:rsidRDefault="00F335F8" w:rsidP="00F335F8">
      <w:pPr>
        <w:rPr>
          <w:rFonts w:ascii="Calibri Light" w:hAnsi="Calibri Light"/>
          <w:szCs w:val="24"/>
        </w:rPr>
      </w:pPr>
    </w:p>
    <w:p w:rsidR="009F1DC3" w:rsidRDefault="009F1DC3" w:rsidP="00F335F8">
      <w:pPr>
        <w:rPr>
          <w:rFonts w:ascii="Calibri Light" w:hAnsi="Calibri Light"/>
          <w:szCs w:val="24"/>
        </w:rPr>
      </w:pPr>
    </w:p>
    <w:p w:rsidR="002A3DEE" w:rsidRDefault="002A3DEE" w:rsidP="00F335F8">
      <w:pPr>
        <w:rPr>
          <w:rFonts w:ascii="Calibri Light" w:hAnsi="Calibri Light"/>
          <w:szCs w:val="24"/>
        </w:rPr>
      </w:pPr>
    </w:p>
    <w:p w:rsidR="002A3DEE" w:rsidRDefault="002A3DEE" w:rsidP="00F335F8">
      <w:pPr>
        <w:rPr>
          <w:rFonts w:ascii="Calibri Light" w:hAnsi="Calibri Light"/>
          <w:szCs w:val="24"/>
        </w:rPr>
      </w:pPr>
    </w:p>
    <w:p w:rsidR="002A3DEE" w:rsidRDefault="002A3DEE" w:rsidP="00F335F8">
      <w:pPr>
        <w:rPr>
          <w:rFonts w:ascii="Calibri Light" w:hAnsi="Calibri Light"/>
          <w:szCs w:val="24"/>
        </w:rPr>
      </w:pPr>
    </w:p>
    <w:p w:rsidR="00F335F8" w:rsidRPr="00E71402" w:rsidRDefault="009F1DC3" w:rsidP="00F335F8">
      <w:pPr>
        <w:rPr>
          <w:szCs w:val="24"/>
        </w:rPr>
      </w:pPr>
      <w:r w:rsidRPr="00E71402">
        <w:rPr>
          <w:szCs w:val="24"/>
        </w:rPr>
        <w:t>Riksadvokaten</w:t>
      </w:r>
      <w:r w:rsidR="00F335F8" w:rsidRPr="00E71402">
        <w:rPr>
          <w:szCs w:val="24"/>
        </w:rPr>
        <w:t xml:space="preserve"> </w:t>
      </w:r>
    </w:p>
    <w:p w:rsidR="00F335F8" w:rsidRPr="00E71402" w:rsidRDefault="00787A84" w:rsidP="00F335F8">
      <w:pPr>
        <w:rPr>
          <w:szCs w:val="24"/>
        </w:rPr>
      </w:pPr>
      <w:hyperlink r:id="rId11" w:history="1">
        <w:r w:rsidR="001D7130" w:rsidRPr="00E71402">
          <w:rPr>
            <w:rStyle w:val="Hyperkobling"/>
            <w:szCs w:val="24"/>
          </w:rPr>
          <w:t>postmottak@riksadvokaten.no</w:t>
        </w:r>
      </w:hyperlink>
    </w:p>
    <w:p w:rsidR="00F335F8" w:rsidRPr="00E71402" w:rsidRDefault="00F335F8" w:rsidP="00F335F8">
      <w:pPr>
        <w:rPr>
          <w:szCs w:val="24"/>
        </w:rPr>
      </w:pPr>
    </w:p>
    <w:p w:rsidR="002A3DEE" w:rsidRDefault="002A3DEE" w:rsidP="00F335F8">
      <w:pPr>
        <w:rPr>
          <w:szCs w:val="24"/>
        </w:rPr>
      </w:pPr>
      <w:r>
        <w:rPr>
          <w:szCs w:val="24"/>
        </w:rPr>
        <w:t>Deres ref.</w:t>
      </w:r>
      <w:r w:rsidR="00F335F8" w:rsidRPr="00E71402">
        <w:rPr>
          <w:szCs w:val="24"/>
        </w:rPr>
        <w:t>: -</w:t>
      </w:r>
      <w:r w:rsidR="004965CF" w:rsidRPr="00E71402">
        <w:rPr>
          <w:szCs w:val="24"/>
        </w:rPr>
        <w:t>16/2758 ES GUH/</w:t>
      </w:r>
      <w:proofErr w:type="spellStart"/>
      <w:r w:rsidR="004965CF" w:rsidRPr="00E71402">
        <w:rPr>
          <w:szCs w:val="24"/>
        </w:rPr>
        <w:t>bj</w:t>
      </w:r>
      <w:proofErr w:type="spellEnd"/>
      <w:r w:rsidR="004965CF" w:rsidRPr="00E71402">
        <w:rPr>
          <w:szCs w:val="24"/>
        </w:rPr>
        <w:tab/>
      </w:r>
      <w:r w:rsidR="004965CF" w:rsidRPr="00E71402">
        <w:rPr>
          <w:szCs w:val="24"/>
        </w:rPr>
        <w:tab/>
      </w:r>
      <w:r w:rsidR="004965CF" w:rsidRPr="00E71402">
        <w:rPr>
          <w:szCs w:val="24"/>
        </w:rPr>
        <w:tab/>
      </w:r>
      <w:r w:rsidR="004965CF" w:rsidRPr="00E71402">
        <w:rPr>
          <w:szCs w:val="24"/>
        </w:rPr>
        <w:tab/>
      </w:r>
      <w:r w:rsidR="004965CF" w:rsidRPr="00E71402">
        <w:rPr>
          <w:szCs w:val="24"/>
        </w:rPr>
        <w:tab/>
      </w:r>
    </w:p>
    <w:p w:rsidR="002A3DEE" w:rsidRDefault="002A3DEE" w:rsidP="00F335F8">
      <w:pPr>
        <w:rPr>
          <w:szCs w:val="24"/>
        </w:rPr>
      </w:pPr>
    </w:p>
    <w:p w:rsidR="002A3DEE" w:rsidRDefault="002A3DEE" w:rsidP="00F335F8">
      <w:pPr>
        <w:rPr>
          <w:szCs w:val="24"/>
        </w:rPr>
      </w:pPr>
    </w:p>
    <w:p w:rsidR="00F335F8" w:rsidRPr="00E71402" w:rsidRDefault="004965CF" w:rsidP="002A3DEE">
      <w:pPr>
        <w:ind w:left="5664" w:firstLine="708"/>
        <w:rPr>
          <w:szCs w:val="24"/>
        </w:rPr>
      </w:pPr>
      <w:r w:rsidRPr="00E71402">
        <w:rPr>
          <w:szCs w:val="24"/>
        </w:rPr>
        <w:t>Oslo</w:t>
      </w:r>
      <w:r w:rsidR="00C46276">
        <w:rPr>
          <w:szCs w:val="24"/>
        </w:rPr>
        <w:t xml:space="preserve"> 2017-03-01</w:t>
      </w:r>
    </w:p>
    <w:p w:rsidR="00F335F8" w:rsidRPr="00E71402" w:rsidRDefault="00F335F8" w:rsidP="00F335F8">
      <w:pPr>
        <w:rPr>
          <w:szCs w:val="24"/>
        </w:rPr>
      </w:pPr>
    </w:p>
    <w:p w:rsidR="00855EC7" w:rsidRPr="00E71402" w:rsidRDefault="00855EC7" w:rsidP="00F335F8">
      <w:pPr>
        <w:rPr>
          <w:szCs w:val="24"/>
        </w:rPr>
      </w:pPr>
    </w:p>
    <w:p w:rsidR="00855EC7" w:rsidRPr="00E71402" w:rsidRDefault="00855EC7" w:rsidP="00F335F8">
      <w:pPr>
        <w:rPr>
          <w:szCs w:val="24"/>
        </w:rPr>
      </w:pPr>
    </w:p>
    <w:p w:rsidR="00F335F8" w:rsidRDefault="00F335F8" w:rsidP="00F335F8">
      <w:pPr>
        <w:rPr>
          <w:szCs w:val="24"/>
        </w:rPr>
      </w:pPr>
    </w:p>
    <w:p w:rsidR="002A3DEE" w:rsidRPr="00E71402" w:rsidRDefault="002A3DEE" w:rsidP="00F335F8">
      <w:pPr>
        <w:rPr>
          <w:szCs w:val="24"/>
        </w:rPr>
      </w:pPr>
    </w:p>
    <w:p w:rsidR="004F7A2D" w:rsidRDefault="009F1DC3" w:rsidP="00F335F8">
      <w:pPr>
        <w:pStyle w:val="Overskrift2"/>
        <w:jc w:val="center"/>
        <w:rPr>
          <w:rFonts w:ascii="Times New Roman" w:hAnsi="Times New Roman"/>
          <w:sz w:val="32"/>
          <w:szCs w:val="24"/>
        </w:rPr>
      </w:pPr>
      <w:bookmarkStart w:id="0" w:name="Tittel"/>
      <w:bookmarkEnd w:id="0"/>
      <w:r w:rsidRPr="004F7A2D">
        <w:rPr>
          <w:rFonts w:ascii="Times New Roman" w:hAnsi="Times New Roman"/>
          <w:sz w:val="32"/>
          <w:szCs w:val="24"/>
        </w:rPr>
        <w:t>Høring – utkast til rundskriv om innsyn</w:t>
      </w:r>
      <w:r w:rsidR="004F7A2D">
        <w:rPr>
          <w:rFonts w:ascii="Times New Roman" w:hAnsi="Times New Roman"/>
          <w:sz w:val="32"/>
          <w:szCs w:val="24"/>
        </w:rPr>
        <w:t xml:space="preserve"> </w:t>
      </w:r>
    </w:p>
    <w:p w:rsidR="00F335F8" w:rsidRPr="004F7A2D" w:rsidRDefault="009F1DC3" w:rsidP="00F335F8">
      <w:pPr>
        <w:pStyle w:val="Overskrift2"/>
        <w:jc w:val="center"/>
        <w:rPr>
          <w:rFonts w:ascii="Times New Roman" w:hAnsi="Times New Roman"/>
          <w:sz w:val="32"/>
          <w:szCs w:val="24"/>
        </w:rPr>
      </w:pPr>
      <w:r w:rsidRPr="004F7A2D">
        <w:rPr>
          <w:rFonts w:ascii="Times New Roman" w:hAnsi="Times New Roman"/>
          <w:sz w:val="32"/>
          <w:szCs w:val="24"/>
        </w:rPr>
        <w:t xml:space="preserve"> i straffesaksdokumenter for andre enn partene i saken</w:t>
      </w:r>
    </w:p>
    <w:p w:rsidR="00F335F8" w:rsidRDefault="00F335F8" w:rsidP="00F335F8">
      <w:pPr>
        <w:rPr>
          <w:szCs w:val="24"/>
        </w:rPr>
      </w:pPr>
    </w:p>
    <w:p w:rsidR="004F7A2D" w:rsidRPr="00E71402" w:rsidRDefault="004F7A2D" w:rsidP="00F335F8">
      <w:pPr>
        <w:rPr>
          <w:szCs w:val="24"/>
        </w:rPr>
      </w:pPr>
    </w:p>
    <w:p w:rsidR="00F335F8" w:rsidRPr="00E71402" w:rsidRDefault="00F335F8" w:rsidP="00F335F8">
      <w:pPr>
        <w:rPr>
          <w:szCs w:val="24"/>
        </w:rPr>
      </w:pPr>
    </w:p>
    <w:p w:rsidR="00B74C19" w:rsidRPr="00E71402" w:rsidRDefault="00B15653" w:rsidP="00B15653">
      <w:pPr>
        <w:pStyle w:val="Listeavsnitt"/>
        <w:spacing w:line="240" w:lineRule="auto"/>
        <w:ind w:left="0"/>
        <w:rPr>
          <w:rFonts w:ascii="Times New Roman" w:hAnsi="Times New Roman"/>
          <w:sz w:val="24"/>
          <w:szCs w:val="24"/>
        </w:rPr>
      </w:pPr>
      <w:r w:rsidRPr="00E71402">
        <w:rPr>
          <w:rFonts w:ascii="Times New Roman" w:hAnsi="Times New Roman"/>
          <w:b/>
          <w:sz w:val="24"/>
          <w:szCs w:val="24"/>
        </w:rPr>
        <w:t xml:space="preserve">1. </w:t>
      </w:r>
      <w:r w:rsidR="00B74C19" w:rsidRPr="00E71402">
        <w:rPr>
          <w:rFonts w:ascii="Times New Roman" w:hAnsi="Times New Roman"/>
          <w:b/>
          <w:sz w:val="24"/>
          <w:szCs w:val="24"/>
        </w:rPr>
        <w:t>Innledning</w:t>
      </w:r>
    </w:p>
    <w:p w:rsidR="007B025F" w:rsidRPr="00E71402" w:rsidRDefault="00FA1A5D" w:rsidP="00697D40">
      <w:pPr>
        <w:spacing w:after="120"/>
        <w:rPr>
          <w:szCs w:val="24"/>
        </w:rPr>
      </w:pPr>
      <w:bookmarkStart w:id="1" w:name="tekst"/>
      <w:bookmarkEnd w:id="1"/>
      <w:r w:rsidRPr="00B15653">
        <w:rPr>
          <w:noProof/>
          <w:szCs w:val="24"/>
        </w:rPr>
        <mc:AlternateContent>
          <mc:Choice Requires="wps">
            <w:drawing>
              <wp:anchor distT="4294967295" distB="4294967295" distL="114300" distR="114300" simplePos="0" relativeHeight="251657728" behindDoc="0" locked="0" layoutInCell="0" allowOverlap="1" wp14:anchorId="1A9FD66D" wp14:editId="00F1C461">
                <wp:simplePos x="0" y="0"/>
                <wp:positionH relativeFrom="page">
                  <wp:posOffset>182880</wp:posOffset>
                </wp:positionH>
                <wp:positionV relativeFrom="page">
                  <wp:posOffset>3816349</wp:posOffset>
                </wp:positionV>
                <wp:extent cx="91440" cy="0"/>
                <wp:effectExtent l="0" t="0" r="381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BC1DA"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4pt,300.5pt" to="21.6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67DwIAACY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" o:allowincell="f">
                <w10:wrap anchorx="page" anchory="page"/>
              </v:line>
            </w:pict>
          </mc:Fallback>
        </mc:AlternateContent>
      </w:r>
      <w:r w:rsidR="00CA29D7" w:rsidRPr="00E71402">
        <w:rPr>
          <w:color w:val="000000"/>
          <w:szCs w:val="24"/>
          <w:lang w:eastAsia="en-US"/>
        </w:rPr>
        <w:t>Norsk Presseforbund (NP) er fellesorganet for norske medier i etiske og redaksjonelt faglige spørsmål. Norsk Redaktørforening (NR) er en landsomfattende sammenslutning av redaktører i alle typer medier. Norsk Journalistlag (NJ) er organisasjonen for redaksjonelle medarbeidere, herunder ledere og frilansere som har journalistikk som yrke.</w:t>
      </w:r>
      <w:r w:rsidR="00197396" w:rsidRPr="00E71402">
        <w:rPr>
          <w:color w:val="000000"/>
          <w:szCs w:val="24"/>
          <w:lang w:eastAsia="en-US"/>
        </w:rPr>
        <w:t xml:space="preserve"> </w:t>
      </w:r>
      <w:r w:rsidR="00B74C19" w:rsidRPr="00E71402">
        <w:rPr>
          <w:szCs w:val="24"/>
        </w:rPr>
        <w:t xml:space="preserve">Vi </w:t>
      </w:r>
      <w:r w:rsidR="001E574F" w:rsidRPr="00E71402">
        <w:rPr>
          <w:szCs w:val="24"/>
        </w:rPr>
        <w:t xml:space="preserve">takker for konstruktivt møte med </w:t>
      </w:r>
      <w:r w:rsidR="009F1DC3" w:rsidRPr="00E71402">
        <w:rPr>
          <w:szCs w:val="24"/>
        </w:rPr>
        <w:t>førstestatsadvokat Anne Grøstad</w:t>
      </w:r>
      <w:r w:rsidR="00697D40" w:rsidRPr="00E71402">
        <w:rPr>
          <w:szCs w:val="24"/>
        </w:rPr>
        <w:t xml:space="preserve"> og Pressens Offentlighetsutvalg</w:t>
      </w:r>
      <w:r w:rsidR="00E360FE" w:rsidRPr="00E71402">
        <w:rPr>
          <w:szCs w:val="24"/>
        </w:rPr>
        <w:t xml:space="preserve"> 9. februar i år</w:t>
      </w:r>
      <w:r w:rsidR="009F1DC3" w:rsidRPr="00E71402">
        <w:rPr>
          <w:szCs w:val="24"/>
        </w:rPr>
        <w:t xml:space="preserve">, og </w:t>
      </w:r>
      <w:r w:rsidR="004B2A5D">
        <w:rPr>
          <w:szCs w:val="24"/>
        </w:rPr>
        <w:t xml:space="preserve">for </w:t>
      </w:r>
      <w:r w:rsidR="009F1DC3" w:rsidRPr="00E71402">
        <w:rPr>
          <w:szCs w:val="24"/>
        </w:rPr>
        <w:t>at vi har fått utsatt høringsfristen med to uker</w:t>
      </w:r>
      <w:r w:rsidR="001E574F" w:rsidRPr="00E71402">
        <w:rPr>
          <w:szCs w:val="24"/>
        </w:rPr>
        <w:t xml:space="preserve">. </w:t>
      </w:r>
    </w:p>
    <w:p w:rsidR="007B025F" w:rsidRPr="00E71402" w:rsidRDefault="007B025F" w:rsidP="00F335F8">
      <w:pPr>
        <w:rPr>
          <w:szCs w:val="24"/>
        </w:rPr>
      </w:pPr>
    </w:p>
    <w:p w:rsidR="00E60CF7" w:rsidRPr="00E71402" w:rsidRDefault="00CB661E" w:rsidP="00E60CF7">
      <w:pPr>
        <w:rPr>
          <w:szCs w:val="24"/>
        </w:rPr>
      </w:pPr>
      <w:r w:rsidRPr="00E71402">
        <w:rPr>
          <w:szCs w:val="24"/>
        </w:rPr>
        <w:t xml:space="preserve">Regler om </w:t>
      </w:r>
      <w:r w:rsidR="009F1DC3" w:rsidRPr="00E71402">
        <w:rPr>
          <w:szCs w:val="24"/>
        </w:rPr>
        <w:t>allmennhetens</w:t>
      </w:r>
      <w:r w:rsidR="00E71402">
        <w:rPr>
          <w:szCs w:val="24"/>
        </w:rPr>
        <w:t xml:space="preserve"> og medienes</w:t>
      </w:r>
      <w:r w:rsidR="009F1DC3" w:rsidRPr="00E71402">
        <w:rPr>
          <w:szCs w:val="24"/>
        </w:rPr>
        <w:t xml:space="preserve"> innsynsrett i straffesaksdokumenter </w:t>
      </w:r>
      <w:r w:rsidRPr="00E71402">
        <w:rPr>
          <w:szCs w:val="24"/>
        </w:rPr>
        <w:t xml:space="preserve">er av stor betydning </w:t>
      </w:r>
      <w:r w:rsidR="00697D40" w:rsidRPr="00E71402">
        <w:rPr>
          <w:szCs w:val="24"/>
        </w:rPr>
        <w:t xml:space="preserve">som arbeidsverktøy for </w:t>
      </w:r>
      <w:r w:rsidR="009F1DC3" w:rsidRPr="00E71402">
        <w:rPr>
          <w:szCs w:val="24"/>
        </w:rPr>
        <w:t>en rekke journalister</w:t>
      </w:r>
      <w:r w:rsidR="00E71402">
        <w:rPr>
          <w:szCs w:val="24"/>
        </w:rPr>
        <w:t xml:space="preserve"> landet rundt</w:t>
      </w:r>
      <w:r w:rsidRPr="00E71402">
        <w:rPr>
          <w:szCs w:val="24"/>
        </w:rPr>
        <w:t xml:space="preserve">. Enten det </w:t>
      </w:r>
      <w:r w:rsidR="006E5A1E" w:rsidRPr="00E71402">
        <w:rPr>
          <w:szCs w:val="24"/>
        </w:rPr>
        <w:t xml:space="preserve">er tale om </w:t>
      </w:r>
      <w:r w:rsidRPr="00E71402">
        <w:rPr>
          <w:szCs w:val="24"/>
        </w:rPr>
        <w:t xml:space="preserve">store redaksjoner med </w:t>
      </w:r>
      <w:r w:rsidR="00930C44" w:rsidRPr="00E71402">
        <w:rPr>
          <w:szCs w:val="24"/>
        </w:rPr>
        <w:t xml:space="preserve">dedikerte journalister innenfor retts- og kriminaljournalistikken, eller det er en mindre redaksjon som mer sporadisk dekker </w:t>
      </w:r>
      <w:r w:rsidR="006E5A1E" w:rsidRPr="00E71402">
        <w:rPr>
          <w:szCs w:val="24"/>
        </w:rPr>
        <w:t xml:space="preserve">aktuelle </w:t>
      </w:r>
      <w:r w:rsidR="009F1DC3" w:rsidRPr="00E71402">
        <w:rPr>
          <w:szCs w:val="24"/>
        </w:rPr>
        <w:t>straffesaker</w:t>
      </w:r>
      <w:r w:rsidR="00E71402">
        <w:rPr>
          <w:szCs w:val="24"/>
        </w:rPr>
        <w:t>, er s</w:t>
      </w:r>
      <w:r w:rsidR="00F6650E" w:rsidRPr="00E71402">
        <w:rPr>
          <w:szCs w:val="24"/>
        </w:rPr>
        <w:t>tørst mulig åpe</w:t>
      </w:r>
      <w:r w:rsidR="00E71402">
        <w:rPr>
          <w:szCs w:val="24"/>
        </w:rPr>
        <w:t xml:space="preserve">nhet og innsyn i rettspleien </w:t>
      </w:r>
      <w:r w:rsidR="00F6650E" w:rsidRPr="00E71402">
        <w:rPr>
          <w:szCs w:val="24"/>
        </w:rPr>
        <w:t>helt avgjørende for at mediene skal kunne utføre si</w:t>
      </w:r>
      <w:r w:rsidR="007F7831" w:rsidRPr="00E71402">
        <w:rPr>
          <w:szCs w:val="24"/>
        </w:rPr>
        <w:t>tt</w:t>
      </w:r>
      <w:r w:rsidR="006E5A1E" w:rsidRPr="00E71402">
        <w:rPr>
          <w:szCs w:val="24"/>
        </w:rPr>
        <w:t xml:space="preserve"> journalistiske </w:t>
      </w:r>
      <w:r w:rsidR="007F7831" w:rsidRPr="00E71402">
        <w:rPr>
          <w:szCs w:val="24"/>
        </w:rPr>
        <w:t xml:space="preserve">oppdrag </w:t>
      </w:r>
      <w:r w:rsidR="00E71402">
        <w:rPr>
          <w:szCs w:val="24"/>
        </w:rPr>
        <w:t xml:space="preserve">- </w:t>
      </w:r>
      <w:r w:rsidR="007F7831" w:rsidRPr="00E71402">
        <w:rPr>
          <w:szCs w:val="24"/>
        </w:rPr>
        <w:t xml:space="preserve">som kritisk videreformidler av og plattform for debatt om viktige </w:t>
      </w:r>
      <w:r w:rsidR="006E5A1E" w:rsidRPr="00E71402">
        <w:rPr>
          <w:szCs w:val="24"/>
        </w:rPr>
        <w:t>samfunns</w:t>
      </w:r>
      <w:r w:rsidR="007F7831" w:rsidRPr="00E71402">
        <w:rPr>
          <w:szCs w:val="24"/>
        </w:rPr>
        <w:t xml:space="preserve">spørsmål. </w:t>
      </w:r>
      <w:r w:rsidR="00930C44" w:rsidRPr="00E71402">
        <w:rPr>
          <w:szCs w:val="24"/>
        </w:rPr>
        <w:t>Norsk</w:t>
      </w:r>
      <w:r w:rsidR="00E71402">
        <w:rPr>
          <w:szCs w:val="24"/>
        </w:rPr>
        <w:t>e</w:t>
      </w:r>
      <w:r w:rsidR="00930C44" w:rsidRPr="00E71402">
        <w:rPr>
          <w:szCs w:val="24"/>
        </w:rPr>
        <w:t xml:space="preserve"> </w:t>
      </w:r>
      <w:r w:rsidR="00E71402">
        <w:rPr>
          <w:szCs w:val="24"/>
        </w:rPr>
        <w:t>medier</w:t>
      </w:r>
      <w:r w:rsidR="00930C44" w:rsidRPr="00E71402">
        <w:rPr>
          <w:szCs w:val="24"/>
        </w:rPr>
        <w:t xml:space="preserve"> </w:t>
      </w:r>
      <w:r w:rsidR="00E60CF7" w:rsidRPr="00E71402">
        <w:rPr>
          <w:szCs w:val="24"/>
        </w:rPr>
        <w:t xml:space="preserve">er derfor avhengig av et </w:t>
      </w:r>
      <w:r w:rsidR="003B713E" w:rsidRPr="00E71402">
        <w:rPr>
          <w:szCs w:val="24"/>
        </w:rPr>
        <w:t xml:space="preserve">utfyllende </w:t>
      </w:r>
      <w:r w:rsidR="00E60CF7" w:rsidRPr="00E71402">
        <w:rPr>
          <w:szCs w:val="24"/>
        </w:rPr>
        <w:t xml:space="preserve">regelverk som tydeliggjør </w:t>
      </w:r>
      <w:r w:rsidR="00697D40" w:rsidRPr="00E71402">
        <w:rPr>
          <w:szCs w:val="24"/>
        </w:rPr>
        <w:t>gode vilkår for journalister om innsyn i straffsaksdokumenter.</w:t>
      </w:r>
      <w:r w:rsidR="00E71402">
        <w:rPr>
          <w:szCs w:val="24"/>
        </w:rPr>
        <w:t xml:space="preserve"> I en tid da mediene tappes for både økonomiske og menneskelige ressurser er det særlig viktig at regelverket er oversiktlig og tydelig.</w:t>
      </w:r>
    </w:p>
    <w:p w:rsidR="00937420" w:rsidRPr="00E71402" w:rsidRDefault="00937420" w:rsidP="00E60CF7">
      <w:pPr>
        <w:rPr>
          <w:szCs w:val="24"/>
        </w:rPr>
      </w:pPr>
    </w:p>
    <w:p w:rsidR="00365612" w:rsidRDefault="00937420" w:rsidP="00E60CF7">
      <w:pPr>
        <w:rPr>
          <w:szCs w:val="24"/>
        </w:rPr>
      </w:pPr>
      <w:r w:rsidRPr="00E71402">
        <w:rPr>
          <w:szCs w:val="24"/>
        </w:rPr>
        <w:t xml:space="preserve">Vi er </w:t>
      </w:r>
      <w:r w:rsidR="00E71402">
        <w:rPr>
          <w:szCs w:val="24"/>
        </w:rPr>
        <w:t xml:space="preserve">derfor </w:t>
      </w:r>
      <w:r w:rsidRPr="00E71402">
        <w:rPr>
          <w:szCs w:val="24"/>
        </w:rPr>
        <w:t xml:space="preserve">helt enig med Riksadvokaten i at det er behov for en samlet </w:t>
      </w:r>
      <w:r w:rsidR="00561881" w:rsidRPr="00E71402">
        <w:rPr>
          <w:szCs w:val="24"/>
        </w:rPr>
        <w:t xml:space="preserve">og mer konkret </w:t>
      </w:r>
      <w:r w:rsidRPr="00E71402">
        <w:rPr>
          <w:szCs w:val="24"/>
        </w:rPr>
        <w:t>oversik</w:t>
      </w:r>
      <w:r w:rsidR="00E71402">
        <w:rPr>
          <w:szCs w:val="24"/>
        </w:rPr>
        <w:t xml:space="preserve">t over reglene om </w:t>
      </w:r>
      <w:r w:rsidRPr="00E71402">
        <w:rPr>
          <w:szCs w:val="24"/>
        </w:rPr>
        <w:t>innsynsrett i straffsaksdokumenter. I dag er regelverket alt for fragmentarisk og uoversiktlig</w:t>
      </w:r>
      <w:r w:rsidR="00E71402">
        <w:rPr>
          <w:szCs w:val="24"/>
        </w:rPr>
        <w:t xml:space="preserve">. Ikke minst må </w:t>
      </w:r>
      <w:r w:rsidR="00365612">
        <w:rPr>
          <w:szCs w:val="24"/>
        </w:rPr>
        <w:t>avgjørelser fra</w:t>
      </w:r>
      <w:r w:rsidRPr="00E71402">
        <w:rPr>
          <w:szCs w:val="24"/>
        </w:rPr>
        <w:t xml:space="preserve"> de siste årenes rettspraksis fra Høyesterett og Den europeiske menneskerettsdomstolen</w:t>
      </w:r>
      <w:r w:rsidR="00365612">
        <w:rPr>
          <w:szCs w:val="24"/>
        </w:rPr>
        <w:t xml:space="preserve"> (heretter forkortet EMD) </w:t>
      </w:r>
      <w:r w:rsidRPr="00E71402">
        <w:rPr>
          <w:szCs w:val="24"/>
        </w:rPr>
        <w:t>i større grad tydeliggjøres for aktørene</w:t>
      </w:r>
      <w:r w:rsidR="008C2761">
        <w:rPr>
          <w:szCs w:val="24"/>
        </w:rPr>
        <w:t>,</w:t>
      </w:r>
      <w:r w:rsidRPr="00E71402">
        <w:rPr>
          <w:szCs w:val="24"/>
        </w:rPr>
        <w:t xml:space="preserve"> som </w:t>
      </w:r>
      <w:r w:rsidR="00365612">
        <w:rPr>
          <w:szCs w:val="24"/>
        </w:rPr>
        <w:t xml:space="preserve">veiledning for dem som </w:t>
      </w:r>
      <w:r w:rsidRPr="00E71402">
        <w:rPr>
          <w:szCs w:val="24"/>
        </w:rPr>
        <w:t xml:space="preserve">skal bruke de nye prinsippene til daglig. </w:t>
      </w:r>
    </w:p>
    <w:p w:rsidR="00365612" w:rsidRDefault="00365612" w:rsidP="00E60CF7">
      <w:pPr>
        <w:rPr>
          <w:szCs w:val="24"/>
        </w:rPr>
      </w:pPr>
    </w:p>
    <w:p w:rsidR="00561881" w:rsidRPr="00E71402" w:rsidRDefault="00AD161C" w:rsidP="00E60CF7">
      <w:pPr>
        <w:rPr>
          <w:szCs w:val="24"/>
        </w:rPr>
      </w:pPr>
      <w:r w:rsidRPr="00E71402">
        <w:rPr>
          <w:szCs w:val="24"/>
        </w:rPr>
        <w:t>I dag er det slik at offentlighetsreglene praktiseres svært ulikt, tidvis også innenfor samme</w:t>
      </w:r>
      <w:r w:rsidR="00F075C3" w:rsidRPr="00E71402">
        <w:rPr>
          <w:szCs w:val="24"/>
        </w:rPr>
        <w:t xml:space="preserve"> politidistrikt. </w:t>
      </w:r>
      <w:r w:rsidRPr="00E71402">
        <w:rPr>
          <w:szCs w:val="24"/>
        </w:rPr>
        <w:t>Offentlighetsprinsippet er hos mange</w:t>
      </w:r>
      <w:r w:rsidR="00E75EB1" w:rsidRPr="00E71402">
        <w:rPr>
          <w:szCs w:val="24"/>
        </w:rPr>
        <w:t xml:space="preserve"> politijurister </w:t>
      </w:r>
      <w:r w:rsidRPr="00E71402">
        <w:rPr>
          <w:szCs w:val="24"/>
        </w:rPr>
        <w:t>rett og slett for dårlig forankret. Vi anser dette som et betydelig problem, som i praksis innebærer en fare for ulik rettssikkerhet og ulikheter i informasjon</w:t>
      </w:r>
      <w:r w:rsidR="00365612">
        <w:rPr>
          <w:szCs w:val="24"/>
        </w:rPr>
        <w:t>stilgangen</w:t>
      </w:r>
      <w:r w:rsidRPr="00E71402">
        <w:rPr>
          <w:szCs w:val="24"/>
        </w:rPr>
        <w:t xml:space="preserve"> fra</w:t>
      </w:r>
      <w:r w:rsidR="00E75EB1" w:rsidRPr="00E71402">
        <w:rPr>
          <w:szCs w:val="24"/>
        </w:rPr>
        <w:t xml:space="preserve"> politi</w:t>
      </w:r>
      <w:r w:rsidR="00365612">
        <w:rPr>
          <w:szCs w:val="24"/>
        </w:rPr>
        <w:t xml:space="preserve">- og påtalemyndighet </w:t>
      </w:r>
      <w:r w:rsidRPr="00E71402">
        <w:rPr>
          <w:szCs w:val="24"/>
        </w:rPr>
        <w:t xml:space="preserve">til publikum og mediene. </w:t>
      </w:r>
    </w:p>
    <w:p w:rsidR="00561881" w:rsidRPr="00E71402" w:rsidRDefault="00561881" w:rsidP="00E60CF7">
      <w:pPr>
        <w:rPr>
          <w:szCs w:val="24"/>
        </w:rPr>
      </w:pPr>
    </w:p>
    <w:p w:rsidR="00E8756D" w:rsidRDefault="00E8756D" w:rsidP="00E60CF7">
      <w:pPr>
        <w:rPr>
          <w:szCs w:val="24"/>
        </w:rPr>
      </w:pPr>
      <w:r>
        <w:rPr>
          <w:szCs w:val="24"/>
        </w:rPr>
        <w:t>Siden det</w:t>
      </w:r>
      <w:r w:rsidR="00937420" w:rsidRPr="00E71402">
        <w:rPr>
          <w:szCs w:val="24"/>
        </w:rPr>
        <w:t xml:space="preserve"> ikke bare</w:t>
      </w:r>
      <w:r>
        <w:rPr>
          <w:szCs w:val="24"/>
        </w:rPr>
        <w:t xml:space="preserve"> er person</w:t>
      </w:r>
      <w:r w:rsidR="00937420" w:rsidRPr="00E71402">
        <w:rPr>
          <w:szCs w:val="24"/>
        </w:rPr>
        <w:t xml:space="preserve">er med juridisk utdanning, men også ikke-jurister som </w:t>
      </w:r>
      <w:r>
        <w:rPr>
          <w:szCs w:val="24"/>
        </w:rPr>
        <w:t>skal bruke Riksadvokatens veiledning</w:t>
      </w:r>
      <w:r w:rsidR="00937420" w:rsidRPr="00E71402">
        <w:rPr>
          <w:szCs w:val="24"/>
        </w:rPr>
        <w:t>, er vi usikre på om utkastet til rundskriv har blitt det mest pedagogiske grunnlagsdokumentet. Særlig gjelder dette punkt 6.9 om Den europeiske menneskerettskonvensjonen (heretter EMK) artikkel 10 om ytringsfrihet, som etter vår mening «lever sitt eget liv» i utkastet, og i</w:t>
      </w:r>
      <w:r>
        <w:rPr>
          <w:szCs w:val="24"/>
        </w:rPr>
        <w:t xml:space="preserve"> for</w:t>
      </w:r>
      <w:r w:rsidR="00937420" w:rsidRPr="00E71402">
        <w:rPr>
          <w:szCs w:val="24"/>
        </w:rPr>
        <w:t xml:space="preserve"> liten grad er implementert som en del av det praktiske verktøyet på området. </w:t>
      </w:r>
    </w:p>
    <w:p w:rsidR="00E8756D" w:rsidRDefault="00E8756D" w:rsidP="00E60CF7">
      <w:pPr>
        <w:rPr>
          <w:szCs w:val="24"/>
        </w:rPr>
      </w:pPr>
    </w:p>
    <w:p w:rsidR="00937420" w:rsidRPr="00E8756D" w:rsidRDefault="00937420" w:rsidP="00E60CF7">
      <w:pPr>
        <w:rPr>
          <w:szCs w:val="24"/>
        </w:rPr>
      </w:pPr>
      <w:r w:rsidRPr="00E71402">
        <w:rPr>
          <w:szCs w:val="24"/>
        </w:rPr>
        <w:t>Samtidig er det viktig for oss innledningsvis å understreke at vi</w:t>
      </w:r>
      <w:r w:rsidR="00CD4533">
        <w:rPr>
          <w:szCs w:val="24"/>
        </w:rPr>
        <w:t xml:space="preserve"> også</w:t>
      </w:r>
      <w:r w:rsidRPr="00E71402">
        <w:rPr>
          <w:szCs w:val="24"/>
        </w:rPr>
        <w:t xml:space="preserve"> synes det er</w:t>
      </w:r>
      <w:r w:rsidR="00E8756D">
        <w:rPr>
          <w:szCs w:val="24"/>
        </w:rPr>
        <w:t xml:space="preserve"> mye bra med dette utkastet</w:t>
      </w:r>
      <w:r w:rsidRPr="00E71402">
        <w:rPr>
          <w:szCs w:val="24"/>
        </w:rPr>
        <w:t xml:space="preserve">. </w:t>
      </w:r>
      <w:r w:rsidR="003871E7" w:rsidRPr="00E71402">
        <w:rPr>
          <w:szCs w:val="24"/>
        </w:rPr>
        <w:t>En liten bagatell i den overordnede sammenheng er at vi mener «innsynskrav» er et mer dekkende og oppdatert begrep enn «innsynsbegjæringer».</w:t>
      </w:r>
      <w:r w:rsidR="000B75DB" w:rsidRPr="00E71402">
        <w:rPr>
          <w:szCs w:val="24"/>
        </w:rPr>
        <w:t xml:space="preserve"> På et mer overordnet</w:t>
      </w:r>
      <w:r w:rsidR="000E4AA7" w:rsidRPr="00E71402">
        <w:rPr>
          <w:szCs w:val="24"/>
        </w:rPr>
        <w:t xml:space="preserve"> plan hadde vi ønsket at</w:t>
      </w:r>
      <w:r w:rsidR="00E8756D">
        <w:rPr>
          <w:szCs w:val="24"/>
        </w:rPr>
        <w:t xml:space="preserve"> </w:t>
      </w:r>
      <w:r w:rsidR="00E8756D" w:rsidRPr="00E71402">
        <w:rPr>
          <w:szCs w:val="24"/>
        </w:rPr>
        <w:t>også</w:t>
      </w:r>
      <w:r w:rsidR="000E4AA7" w:rsidRPr="00E71402">
        <w:rPr>
          <w:szCs w:val="24"/>
        </w:rPr>
        <w:t xml:space="preserve"> i</w:t>
      </w:r>
      <w:r w:rsidR="000B75DB" w:rsidRPr="00E71402">
        <w:rPr>
          <w:szCs w:val="24"/>
        </w:rPr>
        <w:t>n</w:t>
      </w:r>
      <w:r w:rsidR="000E4AA7" w:rsidRPr="00E71402">
        <w:rPr>
          <w:szCs w:val="24"/>
        </w:rPr>
        <w:t>f</w:t>
      </w:r>
      <w:r w:rsidR="000B75DB" w:rsidRPr="00E71402">
        <w:rPr>
          <w:szCs w:val="24"/>
        </w:rPr>
        <w:t>o</w:t>
      </w:r>
      <w:r w:rsidR="000E4AA7" w:rsidRPr="00E71402">
        <w:rPr>
          <w:szCs w:val="24"/>
        </w:rPr>
        <w:t>r</w:t>
      </w:r>
      <w:r w:rsidR="000B75DB" w:rsidRPr="00E71402">
        <w:rPr>
          <w:szCs w:val="24"/>
        </w:rPr>
        <w:t>m</w:t>
      </w:r>
      <w:r w:rsidR="000E4AA7" w:rsidRPr="00E71402">
        <w:rPr>
          <w:szCs w:val="24"/>
        </w:rPr>
        <w:t>a</w:t>
      </w:r>
      <w:r w:rsidR="000B75DB" w:rsidRPr="00E71402">
        <w:rPr>
          <w:szCs w:val="24"/>
        </w:rPr>
        <w:t xml:space="preserve">sjonen i note </w:t>
      </w:r>
      <w:r w:rsidR="000E4AA7" w:rsidRPr="00E71402">
        <w:rPr>
          <w:szCs w:val="24"/>
        </w:rPr>
        <w:t>29</w:t>
      </w:r>
      <w:r w:rsidR="00E8756D">
        <w:rPr>
          <w:szCs w:val="24"/>
        </w:rPr>
        <w:t>,</w:t>
      </w:r>
      <w:r w:rsidR="000E4AA7" w:rsidRPr="00E8756D">
        <w:rPr>
          <w:szCs w:val="24"/>
        </w:rPr>
        <w:t xml:space="preserve"> </w:t>
      </w:r>
      <w:r w:rsidR="00CA213C" w:rsidRPr="00E8756D">
        <w:rPr>
          <w:szCs w:val="24"/>
        </w:rPr>
        <w:t xml:space="preserve">om </w:t>
      </w:r>
      <w:r w:rsidR="000E4AA7" w:rsidRPr="00E8756D">
        <w:rPr>
          <w:szCs w:val="24"/>
        </w:rPr>
        <w:t xml:space="preserve">at Riksadvokatens rundskriv </w:t>
      </w:r>
      <w:r w:rsidR="0038611C" w:rsidRPr="00E8756D">
        <w:rPr>
          <w:szCs w:val="24"/>
        </w:rPr>
        <w:t>nr. 1/1981 om meddel</w:t>
      </w:r>
      <w:r w:rsidR="00E8756D">
        <w:rPr>
          <w:szCs w:val="24"/>
        </w:rPr>
        <w:t>els</w:t>
      </w:r>
      <w:r w:rsidR="0038611C" w:rsidRPr="00E8756D">
        <w:rPr>
          <w:szCs w:val="24"/>
        </w:rPr>
        <w:t>er til offentligheten om straffesaker fremdeles gjelder</w:t>
      </w:r>
      <w:r w:rsidR="008C2761">
        <w:rPr>
          <w:szCs w:val="24"/>
        </w:rPr>
        <w:t>,</w:t>
      </w:r>
      <w:r w:rsidR="00E8756D">
        <w:rPr>
          <w:szCs w:val="24"/>
        </w:rPr>
        <w:t xml:space="preserve"> ble plassert tydeligere i utkastet til rundskriv</w:t>
      </w:r>
      <w:r w:rsidR="0038611C" w:rsidRPr="00E8756D">
        <w:rPr>
          <w:szCs w:val="24"/>
        </w:rPr>
        <w:t>.</w:t>
      </w:r>
      <w:r w:rsidR="00AC658C" w:rsidRPr="00E8756D">
        <w:rPr>
          <w:szCs w:val="24"/>
        </w:rPr>
        <w:t xml:space="preserve"> </w:t>
      </w:r>
    </w:p>
    <w:p w:rsidR="00AD161C" w:rsidRPr="00E8756D" w:rsidRDefault="00AD161C" w:rsidP="00E60CF7">
      <w:pPr>
        <w:rPr>
          <w:szCs w:val="24"/>
        </w:rPr>
      </w:pPr>
    </w:p>
    <w:p w:rsidR="0038611C" w:rsidRPr="00E8756D" w:rsidRDefault="0038611C" w:rsidP="00E60CF7">
      <w:pPr>
        <w:rPr>
          <w:szCs w:val="24"/>
        </w:rPr>
      </w:pPr>
    </w:p>
    <w:p w:rsidR="00AC658C" w:rsidRPr="00CD4533" w:rsidRDefault="00ED2250" w:rsidP="00E8756D">
      <w:pPr>
        <w:pStyle w:val="Listeavsnitt"/>
        <w:ind w:left="0"/>
        <w:rPr>
          <w:rFonts w:ascii="Times New Roman" w:hAnsi="Times New Roman"/>
          <w:b/>
          <w:sz w:val="24"/>
          <w:szCs w:val="24"/>
        </w:rPr>
      </w:pPr>
      <w:r w:rsidRPr="00CD4533">
        <w:rPr>
          <w:rFonts w:ascii="Times New Roman" w:hAnsi="Times New Roman"/>
          <w:b/>
          <w:sz w:val="24"/>
          <w:szCs w:val="24"/>
        </w:rPr>
        <w:t>2</w:t>
      </w:r>
      <w:r w:rsidR="00E8756D" w:rsidRPr="00CD4533">
        <w:rPr>
          <w:rFonts w:ascii="Times New Roman" w:hAnsi="Times New Roman"/>
          <w:b/>
          <w:sz w:val="24"/>
          <w:szCs w:val="24"/>
        </w:rPr>
        <w:t xml:space="preserve">. </w:t>
      </w:r>
      <w:r w:rsidR="00AC658C" w:rsidRPr="00CD4533">
        <w:rPr>
          <w:rFonts w:ascii="Times New Roman" w:hAnsi="Times New Roman"/>
          <w:b/>
          <w:sz w:val="24"/>
          <w:szCs w:val="24"/>
        </w:rPr>
        <w:t>Rettslige utgangspunkter og grunnleggende hensyn (utkastets punkt 2)</w:t>
      </w:r>
    </w:p>
    <w:p w:rsidR="00175B28" w:rsidRPr="00CD4533" w:rsidRDefault="0000282A" w:rsidP="00AC658C">
      <w:pPr>
        <w:rPr>
          <w:szCs w:val="24"/>
        </w:rPr>
      </w:pPr>
      <w:r w:rsidRPr="00CD4533">
        <w:rPr>
          <w:szCs w:val="24"/>
        </w:rPr>
        <w:t>Under punkt 2 – rettslige utgangspunkter og</w:t>
      </w:r>
      <w:r w:rsidR="00FB2946" w:rsidRPr="00CD4533">
        <w:rPr>
          <w:szCs w:val="24"/>
        </w:rPr>
        <w:t xml:space="preserve"> grunnleggende hensyn - savner vi </w:t>
      </w:r>
      <w:r w:rsidR="00C60040" w:rsidRPr="00CD4533">
        <w:rPr>
          <w:szCs w:val="24"/>
        </w:rPr>
        <w:t xml:space="preserve">det grunnleggende utgangspunktet som vår lovgivning bygger på, nemlig at det skal praktiseres mest mulig åpenhet - også innen strafferettspleien. </w:t>
      </w:r>
      <w:r w:rsidR="00CA213C" w:rsidRPr="00CD4533">
        <w:rPr>
          <w:szCs w:val="24"/>
        </w:rPr>
        <w:t xml:space="preserve">I stedet konstateres det </w:t>
      </w:r>
      <w:r w:rsidR="00CD4533" w:rsidRPr="00CD4533">
        <w:rPr>
          <w:szCs w:val="24"/>
        </w:rPr>
        <w:t xml:space="preserve">i utkastet </w:t>
      </w:r>
      <w:r w:rsidR="00CA213C" w:rsidRPr="00CD4533">
        <w:rPr>
          <w:szCs w:val="24"/>
        </w:rPr>
        <w:t xml:space="preserve">helt kort at </w:t>
      </w:r>
      <w:proofErr w:type="spellStart"/>
      <w:r w:rsidR="00CA213C" w:rsidRPr="00CD4533">
        <w:rPr>
          <w:szCs w:val="24"/>
        </w:rPr>
        <w:t>offentleglova</w:t>
      </w:r>
      <w:proofErr w:type="spellEnd"/>
      <w:r w:rsidR="00CA213C" w:rsidRPr="00CD4533">
        <w:rPr>
          <w:szCs w:val="24"/>
        </w:rPr>
        <w:t xml:space="preserve"> ikke gjelder straffesaksdokumenter, før man går direkte over til en omfattende beskrivelse av taushetsplikten for ansatte i politi og påtalemyndighet.</w:t>
      </w:r>
      <w:r w:rsidR="00C60040" w:rsidRPr="00CD4533">
        <w:rPr>
          <w:szCs w:val="24"/>
        </w:rPr>
        <w:t xml:space="preserve"> </w:t>
      </w:r>
      <w:r w:rsidR="00B21402" w:rsidRPr="00CD4533">
        <w:rPr>
          <w:szCs w:val="24"/>
        </w:rPr>
        <w:t>Slik vi ser det blir dette feil utgangspunkt</w:t>
      </w:r>
      <w:r w:rsidR="00CA213C" w:rsidRPr="00CD4533">
        <w:rPr>
          <w:szCs w:val="24"/>
        </w:rPr>
        <w:t xml:space="preserve">, særlig når utgangspunktet er «Rettslige utgangspunkter og </w:t>
      </w:r>
      <w:r w:rsidR="00CA213C" w:rsidRPr="00CD4533">
        <w:rPr>
          <w:szCs w:val="24"/>
          <w:u w:val="single"/>
        </w:rPr>
        <w:t>grunnleggende hensyn</w:t>
      </w:r>
      <w:r w:rsidR="00CA213C" w:rsidRPr="00CD4533">
        <w:rPr>
          <w:szCs w:val="24"/>
        </w:rPr>
        <w:t xml:space="preserve">». Allmennhetens innsyn i politiets og påtalemyndighetens arbeid er åpenbart et «grunnleggende hensyn» og bør vektlegges innledningsvis i beskrivelsen av de </w:t>
      </w:r>
      <w:proofErr w:type="spellStart"/>
      <w:r w:rsidR="00CA213C" w:rsidRPr="00CD4533">
        <w:rPr>
          <w:szCs w:val="24"/>
          <w:u w:val="single"/>
        </w:rPr>
        <w:t>beskrankninger</w:t>
      </w:r>
      <w:proofErr w:type="spellEnd"/>
      <w:r w:rsidR="00CA213C" w:rsidRPr="00CD4533">
        <w:rPr>
          <w:szCs w:val="24"/>
        </w:rPr>
        <w:t xml:space="preserve"> som gjelder for det samme innsynet.</w:t>
      </w:r>
      <w:r w:rsidR="00B21402" w:rsidRPr="00CD4533">
        <w:rPr>
          <w:szCs w:val="24"/>
        </w:rPr>
        <w:t xml:space="preserve"> </w:t>
      </w:r>
    </w:p>
    <w:p w:rsidR="00175B28" w:rsidRPr="003F71AA" w:rsidRDefault="00175B28" w:rsidP="00AC658C">
      <w:pPr>
        <w:rPr>
          <w:szCs w:val="24"/>
        </w:rPr>
      </w:pPr>
    </w:p>
    <w:p w:rsidR="002D6E47" w:rsidRPr="00CD4533" w:rsidRDefault="00175B28" w:rsidP="00AC658C">
      <w:pPr>
        <w:rPr>
          <w:szCs w:val="24"/>
        </w:rPr>
      </w:pPr>
      <w:r w:rsidRPr="00CD4533">
        <w:rPr>
          <w:szCs w:val="24"/>
        </w:rPr>
        <w:t xml:space="preserve">Det følger av offentlighetsprinsippet fastsatt i domstolsloven § 124 </w:t>
      </w:r>
      <w:r w:rsidR="00B8065E" w:rsidRPr="00CD4533">
        <w:rPr>
          <w:szCs w:val="24"/>
        </w:rPr>
        <w:t xml:space="preserve">at </w:t>
      </w:r>
      <w:r w:rsidRPr="00CD4533">
        <w:rPr>
          <w:szCs w:val="24"/>
        </w:rPr>
        <w:t>forhandlinger og dom i straffesaker er offentlige</w:t>
      </w:r>
      <w:r w:rsidR="00B8065E" w:rsidRPr="00CD4533">
        <w:rPr>
          <w:szCs w:val="24"/>
        </w:rPr>
        <w:t>. D</w:t>
      </w:r>
      <w:r w:rsidRPr="00CD4533">
        <w:rPr>
          <w:szCs w:val="24"/>
        </w:rPr>
        <w:t xml:space="preserve">ette gjelder selv om alle </w:t>
      </w:r>
      <w:r w:rsidR="00561C10" w:rsidRPr="00CD4533">
        <w:rPr>
          <w:szCs w:val="24"/>
        </w:rPr>
        <w:t>strafferettsforhandlinger og straffedommer inneh</w:t>
      </w:r>
      <w:r w:rsidR="003F71AA">
        <w:rPr>
          <w:szCs w:val="24"/>
        </w:rPr>
        <w:t>older en rekke opplysninger om «</w:t>
      </w:r>
      <w:r w:rsidR="00561C10" w:rsidRPr="00CD4533">
        <w:rPr>
          <w:szCs w:val="24"/>
        </w:rPr>
        <w:t>noen personlige forhold</w:t>
      </w:r>
      <w:r w:rsidR="003F71AA">
        <w:rPr>
          <w:szCs w:val="24"/>
        </w:rPr>
        <w:t>»</w:t>
      </w:r>
      <w:r w:rsidR="008C2761">
        <w:rPr>
          <w:szCs w:val="24"/>
        </w:rPr>
        <w:t>,</w:t>
      </w:r>
      <w:r w:rsidR="00561C10" w:rsidRPr="00CD4533">
        <w:rPr>
          <w:szCs w:val="24"/>
        </w:rPr>
        <w:t xml:space="preserve"> som derfor </w:t>
      </w:r>
      <w:r w:rsidR="00CD4533" w:rsidRPr="00CD4533">
        <w:rPr>
          <w:szCs w:val="24"/>
        </w:rPr>
        <w:t>normalt</w:t>
      </w:r>
      <w:r w:rsidR="00561C10" w:rsidRPr="00CD4533">
        <w:rPr>
          <w:szCs w:val="24"/>
        </w:rPr>
        <w:t xml:space="preserve"> er taushetsbelagte. De aller fleste strafferettsf</w:t>
      </w:r>
      <w:r w:rsidR="00471D90" w:rsidRPr="00CD4533">
        <w:rPr>
          <w:szCs w:val="24"/>
        </w:rPr>
        <w:t>or</w:t>
      </w:r>
      <w:r w:rsidR="00561C10" w:rsidRPr="00CD4533">
        <w:rPr>
          <w:szCs w:val="24"/>
        </w:rPr>
        <w:t xml:space="preserve">handlinger og straffedommer inneholder også sensitive personopplysninger </w:t>
      </w:r>
      <w:r w:rsidR="00B8065E" w:rsidRPr="00CD4533">
        <w:rPr>
          <w:szCs w:val="24"/>
        </w:rPr>
        <w:t xml:space="preserve">- </w:t>
      </w:r>
      <w:r w:rsidR="00561C10" w:rsidRPr="00CD4533">
        <w:rPr>
          <w:szCs w:val="24"/>
        </w:rPr>
        <w:t>uten at det av den grunn er adgang til å lukke forhandlingene eller unnta dommen f</w:t>
      </w:r>
      <w:r w:rsidR="00471D90" w:rsidRPr="00CD4533">
        <w:rPr>
          <w:szCs w:val="24"/>
        </w:rPr>
        <w:t>ra</w:t>
      </w:r>
      <w:r w:rsidR="00561C10" w:rsidRPr="00CD4533">
        <w:rPr>
          <w:szCs w:val="24"/>
        </w:rPr>
        <w:t xml:space="preserve"> innsyn. Lovgiver har således tatt det standpunktet at når myndighetene velger å straffeforfølge noen</w:t>
      </w:r>
      <w:r w:rsidR="00B8065E" w:rsidRPr="00CD4533">
        <w:rPr>
          <w:szCs w:val="24"/>
        </w:rPr>
        <w:t>,</w:t>
      </w:r>
      <w:r w:rsidR="00561C10" w:rsidRPr="00CD4533">
        <w:rPr>
          <w:szCs w:val="24"/>
        </w:rPr>
        <w:t xml:space="preserve"> har det </w:t>
      </w:r>
      <w:r w:rsidR="002D6E47" w:rsidRPr="00CD4533">
        <w:rPr>
          <w:szCs w:val="24"/>
        </w:rPr>
        <w:t xml:space="preserve">i seg selv </w:t>
      </w:r>
      <w:r w:rsidR="00561C10" w:rsidRPr="00CD4533">
        <w:rPr>
          <w:szCs w:val="24"/>
        </w:rPr>
        <w:t>så stor offentlig interesse at hensynet til</w:t>
      </w:r>
      <w:r w:rsidR="00CA213C" w:rsidRPr="00CD4533">
        <w:rPr>
          <w:szCs w:val="24"/>
        </w:rPr>
        <w:t xml:space="preserve"> vern av</w:t>
      </w:r>
      <w:r w:rsidR="00561C10" w:rsidRPr="00CD4533">
        <w:rPr>
          <w:szCs w:val="24"/>
        </w:rPr>
        <w:t xml:space="preserve"> taushetsbelagte opplysninger må vike. Dette er </w:t>
      </w:r>
      <w:r w:rsidR="00471D90" w:rsidRPr="00CD4533">
        <w:rPr>
          <w:szCs w:val="24"/>
        </w:rPr>
        <w:t xml:space="preserve">som kjent </w:t>
      </w:r>
      <w:r w:rsidR="00561C10" w:rsidRPr="00CD4533">
        <w:rPr>
          <w:szCs w:val="24"/>
        </w:rPr>
        <w:t xml:space="preserve">ansett som et grunnleggende </w:t>
      </w:r>
      <w:r w:rsidR="002D6E47" w:rsidRPr="00CD4533">
        <w:rPr>
          <w:szCs w:val="24"/>
        </w:rPr>
        <w:t>rett</w:t>
      </w:r>
      <w:r w:rsidR="00471D90" w:rsidRPr="00CD4533">
        <w:rPr>
          <w:szCs w:val="24"/>
        </w:rPr>
        <w:t>s</w:t>
      </w:r>
      <w:r w:rsidR="002D6E47" w:rsidRPr="00CD4533">
        <w:rPr>
          <w:szCs w:val="24"/>
        </w:rPr>
        <w:t>sikkerhetspri</w:t>
      </w:r>
      <w:r w:rsidR="00CD4533" w:rsidRPr="00CD4533">
        <w:rPr>
          <w:szCs w:val="24"/>
        </w:rPr>
        <w:t>nsipp og avgjørende for at mediene</w:t>
      </w:r>
      <w:r w:rsidR="002D6E47" w:rsidRPr="00CD4533">
        <w:rPr>
          <w:szCs w:val="24"/>
        </w:rPr>
        <w:t xml:space="preserve"> skal ha mulighet til å fylle sin kontrollerende rolle. </w:t>
      </w:r>
      <w:r w:rsidR="00FF1790" w:rsidRPr="00CD4533">
        <w:rPr>
          <w:szCs w:val="24"/>
        </w:rPr>
        <w:t xml:space="preserve">Allerede her burde rundskrivet kort nevne den rettsutvikling som har vært, blant annet med vektlegging på avveiningen opp mot EMK artikkel 10. </w:t>
      </w:r>
    </w:p>
    <w:p w:rsidR="00FF1790" w:rsidRPr="003F71AA" w:rsidRDefault="00FF1790" w:rsidP="00AC658C">
      <w:pPr>
        <w:rPr>
          <w:szCs w:val="24"/>
        </w:rPr>
      </w:pPr>
    </w:p>
    <w:p w:rsidR="00471D90" w:rsidRPr="00816575" w:rsidRDefault="002D6E47" w:rsidP="00AC658C">
      <w:pPr>
        <w:rPr>
          <w:i/>
          <w:szCs w:val="24"/>
        </w:rPr>
      </w:pPr>
      <w:r w:rsidRPr="00816575">
        <w:rPr>
          <w:szCs w:val="24"/>
        </w:rPr>
        <w:t>Prinsippet</w:t>
      </w:r>
      <w:r w:rsidR="00CA213C" w:rsidRPr="00816575">
        <w:rPr>
          <w:szCs w:val="24"/>
        </w:rPr>
        <w:t xml:space="preserve"> om allmennhetens adgang til innsyn </w:t>
      </w:r>
      <w:r w:rsidR="00816575">
        <w:rPr>
          <w:szCs w:val="24"/>
        </w:rPr>
        <w:t>i offentlig virksomhet</w:t>
      </w:r>
      <w:r w:rsidRPr="00816575">
        <w:rPr>
          <w:szCs w:val="24"/>
        </w:rPr>
        <w:t xml:space="preserve"> er også ansett som så viktig at det er nedfelt i Grunnlovens § 100 femte ledd og i forarbeidene til Grunnlovens </w:t>
      </w:r>
      <w:r w:rsidR="003F71AA">
        <w:rPr>
          <w:szCs w:val="24"/>
        </w:rPr>
        <w:br/>
      </w:r>
      <w:r w:rsidRPr="00816575">
        <w:rPr>
          <w:szCs w:val="24"/>
        </w:rPr>
        <w:t>§ 100</w:t>
      </w:r>
      <w:r w:rsidR="003F71AA">
        <w:rPr>
          <w:szCs w:val="24"/>
        </w:rPr>
        <w:t xml:space="preserve">. </w:t>
      </w:r>
      <w:r w:rsidR="008C2761">
        <w:rPr>
          <w:szCs w:val="24"/>
        </w:rPr>
        <w:t>I</w:t>
      </w:r>
      <w:r w:rsidR="003F71AA">
        <w:rPr>
          <w:szCs w:val="24"/>
        </w:rPr>
        <w:t xml:space="preserve"> </w:t>
      </w:r>
      <w:r w:rsidR="005A49AB" w:rsidRPr="00816575">
        <w:rPr>
          <w:szCs w:val="24"/>
        </w:rPr>
        <w:t>St.meld.nr. 26</w:t>
      </w:r>
      <w:r w:rsidR="00B61F76" w:rsidRPr="00816575">
        <w:rPr>
          <w:szCs w:val="24"/>
        </w:rPr>
        <w:t xml:space="preserve"> (2003-2004)</w:t>
      </w:r>
      <w:r w:rsidR="005A49AB" w:rsidRPr="00816575">
        <w:rPr>
          <w:szCs w:val="24"/>
        </w:rPr>
        <w:t xml:space="preserve"> punkt </w:t>
      </w:r>
      <w:r w:rsidR="00471D90" w:rsidRPr="00816575">
        <w:rPr>
          <w:szCs w:val="24"/>
        </w:rPr>
        <w:t>6.6</w:t>
      </w:r>
      <w:r w:rsidRPr="00816575">
        <w:rPr>
          <w:szCs w:val="24"/>
        </w:rPr>
        <w:t xml:space="preserve"> står det følgende: </w:t>
      </w:r>
      <w:r w:rsidR="003F71AA">
        <w:rPr>
          <w:i/>
          <w:szCs w:val="24"/>
        </w:rPr>
        <w:t>«</w:t>
      </w:r>
      <w:r w:rsidR="005A49AB" w:rsidRPr="00816575">
        <w:rPr>
          <w:i/>
          <w:szCs w:val="24"/>
        </w:rPr>
        <w:t>Departementet vil likevel understreke at en grunnlovfesting av</w:t>
      </w:r>
      <w:r w:rsidR="00B8065E" w:rsidRPr="00816575">
        <w:rPr>
          <w:i/>
          <w:szCs w:val="24"/>
        </w:rPr>
        <w:t xml:space="preserve"> offentlighetsprinsippet, sammen med en grunnlovfesting av </w:t>
      </w:r>
      <w:r w:rsidR="005A49AB" w:rsidRPr="00816575">
        <w:rPr>
          <w:i/>
          <w:szCs w:val="24"/>
        </w:rPr>
        <w:t>infrastrukturkravet, bør stå som en pe</w:t>
      </w:r>
      <w:r w:rsidR="00DA46CC" w:rsidRPr="00816575">
        <w:rPr>
          <w:i/>
          <w:szCs w:val="24"/>
        </w:rPr>
        <w:t xml:space="preserve">rmanent oppfordring om å arbeide </w:t>
      </w:r>
      <w:r w:rsidR="005A49AB" w:rsidRPr="00816575">
        <w:rPr>
          <w:i/>
          <w:szCs w:val="24"/>
        </w:rPr>
        <w:t>for størst mul</w:t>
      </w:r>
      <w:r w:rsidR="00471D90" w:rsidRPr="00816575">
        <w:rPr>
          <w:i/>
          <w:szCs w:val="24"/>
        </w:rPr>
        <w:t>i</w:t>
      </w:r>
      <w:r w:rsidR="005A49AB" w:rsidRPr="00816575">
        <w:rPr>
          <w:i/>
          <w:szCs w:val="24"/>
        </w:rPr>
        <w:t>g grad av åpenhet i den lovgivn</w:t>
      </w:r>
      <w:r w:rsidR="003F71AA">
        <w:rPr>
          <w:i/>
          <w:szCs w:val="24"/>
        </w:rPr>
        <w:t>ing som til enhver tid gjelder.»</w:t>
      </w:r>
    </w:p>
    <w:p w:rsidR="00B61F76" w:rsidRPr="008D46E9" w:rsidRDefault="00B61F76" w:rsidP="00B61F76">
      <w:pPr>
        <w:rPr>
          <w:szCs w:val="24"/>
        </w:rPr>
      </w:pPr>
    </w:p>
    <w:p w:rsidR="00B61F76" w:rsidRPr="00816575" w:rsidRDefault="00B61F76" w:rsidP="00B61F76">
      <w:pPr>
        <w:rPr>
          <w:szCs w:val="24"/>
        </w:rPr>
      </w:pPr>
      <w:r w:rsidRPr="00816575">
        <w:rPr>
          <w:szCs w:val="24"/>
        </w:rPr>
        <w:t xml:space="preserve">Det kan synes som om Riksadvokaten legger til grunn at hovedregelen er at det ikke gjelder innsynsrett i dokumenter i påtalemyndighetens og politiets virksomhet. Dette må nyanseres. I St.meld.nr. 26 (2003-2004) punkt 6.6 står det videre:  </w:t>
      </w:r>
    </w:p>
    <w:p w:rsidR="002E491C" w:rsidRPr="008D46E9" w:rsidRDefault="002E491C" w:rsidP="00B61F76">
      <w:pPr>
        <w:rPr>
          <w:szCs w:val="24"/>
        </w:rPr>
      </w:pPr>
    </w:p>
    <w:p w:rsidR="00B61F76" w:rsidRPr="00816575" w:rsidRDefault="003F71AA" w:rsidP="002E491C">
      <w:pPr>
        <w:ind w:left="708"/>
        <w:rPr>
          <w:i/>
          <w:szCs w:val="24"/>
        </w:rPr>
      </w:pPr>
      <w:r>
        <w:rPr>
          <w:i/>
          <w:szCs w:val="24"/>
        </w:rPr>
        <w:t>«</w:t>
      </w:r>
      <w:r w:rsidR="00B61F76" w:rsidRPr="00816575">
        <w:rPr>
          <w:i/>
          <w:szCs w:val="24"/>
        </w:rPr>
        <w:t xml:space="preserve">Det er noe uklart om kommisjonen mener at prinsippet om dokumentoffentlighet skal gjelde for påtalemyndighetens virksomhet i saker som behandles etter rettspleielovene (straffeprosessloven), jf. pkt. 6.4.1. Spørsmålet er særlig aktuelt for saker som avsluttes hos påtalemyndigheten (etter skriftlig behandling) uten noen domstolsavgjørelse (for eksempel ved vedtagelse av forelegg på bøter). </w:t>
      </w:r>
      <w:r w:rsidR="00B61F76" w:rsidRPr="00816575">
        <w:rPr>
          <w:i/>
          <w:szCs w:val="24"/>
          <w:u w:val="single"/>
        </w:rPr>
        <w:t xml:space="preserve">Tungtveiende prinsipielle argumenter taler for et utgangspunkt om offentlighet som tjener tilsvarende funksjoner som offentlighet under domstolsprosessen. </w:t>
      </w:r>
      <w:r w:rsidR="00B61F76" w:rsidRPr="00816575">
        <w:rPr>
          <w:i/>
          <w:szCs w:val="24"/>
        </w:rPr>
        <w:t>På den annen side er det klart at en rekke dokumenter måtte unntas, særlig knyttet til etterforskning og saksforberedelse</w:t>
      </w:r>
      <w:r>
        <w:rPr>
          <w:i/>
          <w:szCs w:val="24"/>
        </w:rPr>
        <w:t xml:space="preserve"> </w:t>
      </w:r>
      <w:r w:rsidR="008C2761">
        <w:rPr>
          <w:i/>
          <w:szCs w:val="24"/>
        </w:rPr>
        <w:t>(...)</w:t>
      </w:r>
      <w:r>
        <w:rPr>
          <w:i/>
          <w:szCs w:val="24"/>
        </w:rPr>
        <w:t xml:space="preserve"> </w:t>
      </w:r>
      <w:r w:rsidR="00B61F76" w:rsidRPr="00816575">
        <w:rPr>
          <w:i/>
          <w:szCs w:val="24"/>
          <w:u w:val="single"/>
        </w:rPr>
        <w:t>De grunnleggende prinsippene om dokumentoffentlighet bør imidlertid være de samme uavhengig av hvilket spor lovgivningen legger opp til, noe som taler for et utgangspunkt om offentlighet hos påtalemyndigheten</w:t>
      </w:r>
      <w:r w:rsidR="00DA46CC" w:rsidRPr="00816575">
        <w:rPr>
          <w:i/>
          <w:szCs w:val="24"/>
          <w:u w:val="single"/>
        </w:rPr>
        <w:t xml:space="preserve"> </w:t>
      </w:r>
      <w:r w:rsidR="00DA46CC" w:rsidRPr="00816575">
        <w:rPr>
          <w:szCs w:val="24"/>
        </w:rPr>
        <w:t>[v</w:t>
      </w:r>
      <w:r w:rsidR="00B61F76" w:rsidRPr="00816575">
        <w:rPr>
          <w:szCs w:val="24"/>
        </w:rPr>
        <w:t>åre understrekninger]</w:t>
      </w:r>
      <w:r>
        <w:rPr>
          <w:i/>
          <w:szCs w:val="24"/>
        </w:rPr>
        <w:t>.»</w:t>
      </w:r>
    </w:p>
    <w:p w:rsidR="00B61F76" w:rsidRPr="008D46E9" w:rsidRDefault="00B61F76" w:rsidP="00B61F76">
      <w:pPr>
        <w:rPr>
          <w:szCs w:val="24"/>
        </w:rPr>
      </w:pPr>
    </w:p>
    <w:p w:rsidR="00D74174" w:rsidRPr="00816575" w:rsidRDefault="00B61F76" w:rsidP="00B61F76">
      <w:pPr>
        <w:rPr>
          <w:szCs w:val="24"/>
        </w:rPr>
      </w:pPr>
      <w:r w:rsidRPr="00816575">
        <w:rPr>
          <w:szCs w:val="24"/>
        </w:rPr>
        <w:t>Deretter uttales det</w:t>
      </w:r>
      <w:r w:rsidR="00B8065E" w:rsidRPr="00816575">
        <w:rPr>
          <w:szCs w:val="24"/>
        </w:rPr>
        <w:t xml:space="preserve"> i</w:t>
      </w:r>
      <w:r w:rsidRPr="00816575">
        <w:rPr>
          <w:szCs w:val="24"/>
        </w:rPr>
        <w:t xml:space="preserve"> forarbeidene at fordi det kreves en nyansert tilnærming til disse spørsmålene, egner ikke dette seg til regulering på grunnlovsnivå, men bør reguleres i lovgivningen.</w:t>
      </w:r>
      <w:r w:rsidR="00816575">
        <w:rPr>
          <w:szCs w:val="24"/>
        </w:rPr>
        <w:t xml:space="preserve"> S</w:t>
      </w:r>
      <w:r w:rsidRPr="00816575">
        <w:rPr>
          <w:szCs w:val="24"/>
        </w:rPr>
        <w:t>elv om påtalemyndigheten</w:t>
      </w:r>
      <w:r w:rsidR="00816575">
        <w:rPr>
          <w:szCs w:val="24"/>
        </w:rPr>
        <w:t>s</w:t>
      </w:r>
      <w:r w:rsidRPr="00816575">
        <w:rPr>
          <w:szCs w:val="24"/>
        </w:rPr>
        <w:t xml:space="preserve"> </w:t>
      </w:r>
      <w:r w:rsidR="00816575">
        <w:rPr>
          <w:szCs w:val="24"/>
        </w:rPr>
        <w:t>arbeid med straffesaker</w:t>
      </w:r>
      <w:r w:rsidRPr="00816575">
        <w:rPr>
          <w:szCs w:val="24"/>
        </w:rPr>
        <w:t xml:space="preserve"> ikke er omfattet av </w:t>
      </w:r>
      <w:proofErr w:type="spellStart"/>
      <w:r w:rsidRPr="00816575">
        <w:rPr>
          <w:szCs w:val="24"/>
        </w:rPr>
        <w:t>offentleglova</w:t>
      </w:r>
      <w:proofErr w:type="spellEnd"/>
      <w:r w:rsidRPr="00816575">
        <w:rPr>
          <w:szCs w:val="24"/>
        </w:rPr>
        <w:t xml:space="preserve">, er </w:t>
      </w:r>
      <w:r w:rsidR="00816575">
        <w:rPr>
          <w:szCs w:val="24"/>
        </w:rPr>
        <w:t xml:space="preserve">altså </w:t>
      </w:r>
      <w:r w:rsidR="00C15CE6" w:rsidRPr="00816575">
        <w:rPr>
          <w:szCs w:val="24"/>
        </w:rPr>
        <w:t xml:space="preserve">lovgivers utgangspunkt at det skal praktiseres størst mulig grad av åpenhet innen strafferettspleien. </w:t>
      </w:r>
    </w:p>
    <w:p w:rsidR="00D74174" w:rsidRPr="00816575" w:rsidRDefault="00D74174" w:rsidP="00B61F76">
      <w:pPr>
        <w:rPr>
          <w:szCs w:val="24"/>
        </w:rPr>
      </w:pPr>
    </w:p>
    <w:p w:rsidR="00B61F76" w:rsidRPr="003534FB" w:rsidRDefault="003534FB" w:rsidP="006A070D">
      <w:pPr>
        <w:rPr>
          <w:szCs w:val="24"/>
        </w:rPr>
      </w:pPr>
      <w:r w:rsidRPr="003534FB">
        <w:rPr>
          <w:szCs w:val="24"/>
        </w:rPr>
        <w:t>Dessuten</w:t>
      </w:r>
      <w:r w:rsidR="00D74174" w:rsidRPr="003534FB">
        <w:rPr>
          <w:szCs w:val="24"/>
        </w:rPr>
        <w:t xml:space="preserve"> følger det av E</w:t>
      </w:r>
      <w:r w:rsidR="00FA1A5D">
        <w:rPr>
          <w:szCs w:val="24"/>
        </w:rPr>
        <w:t xml:space="preserve">MK </w:t>
      </w:r>
      <w:r w:rsidR="00D74174" w:rsidRPr="003534FB">
        <w:rPr>
          <w:szCs w:val="24"/>
        </w:rPr>
        <w:t xml:space="preserve">artikkel 10 og praksis fra EMD at </w:t>
      </w:r>
      <w:r w:rsidR="002F467D" w:rsidRPr="003534FB">
        <w:rPr>
          <w:szCs w:val="24"/>
        </w:rPr>
        <w:t>mediene har en særskilt rett til innsyn</w:t>
      </w:r>
      <w:r w:rsidR="00BC155E" w:rsidRPr="003534FB">
        <w:rPr>
          <w:szCs w:val="24"/>
        </w:rPr>
        <w:t>,</w:t>
      </w:r>
      <w:r w:rsidR="002F467D" w:rsidRPr="003534FB">
        <w:rPr>
          <w:szCs w:val="24"/>
        </w:rPr>
        <w:t xml:space="preserve"> og det må foretas en interesseavveining etter artikkel 10 nr. 2 for å avgjøre om nødvendighetskravet er oppfylt</w:t>
      </w:r>
      <w:r w:rsidRPr="003534FB">
        <w:rPr>
          <w:szCs w:val="24"/>
        </w:rPr>
        <w:t>,</w:t>
      </w:r>
      <w:r w:rsidR="006A070D" w:rsidRPr="003534FB">
        <w:rPr>
          <w:szCs w:val="24"/>
        </w:rPr>
        <w:t xml:space="preserve"> også der det er </w:t>
      </w:r>
      <w:r w:rsidR="000E70B4">
        <w:rPr>
          <w:szCs w:val="24"/>
        </w:rPr>
        <w:t>tale</w:t>
      </w:r>
      <w:r w:rsidR="000E70B4" w:rsidRPr="003534FB">
        <w:rPr>
          <w:szCs w:val="24"/>
        </w:rPr>
        <w:t xml:space="preserve"> </w:t>
      </w:r>
      <w:r w:rsidR="006A070D" w:rsidRPr="003534FB">
        <w:rPr>
          <w:szCs w:val="24"/>
        </w:rPr>
        <w:t>om opplysninger som er taushetsbelagt e</w:t>
      </w:r>
      <w:r w:rsidR="00C8101B" w:rsidRPr="003534FB">
        <w:rPr>
          <w:szCs w:val="24"/>
        </w:rPr>
        <w:t>tt</w:t>
      </w:r>
      <w:r w:rsidR="006A070D" w:rsidRPr="003534FB">
        <w:rPr>
          <w:szCs w:val="24"/>
        </w:rPr>
        <w:t>er intern norsk rett</w:t>
      </w:r>
      <w:r w:rsidR="002F467D" w:rsidRPr="003534FB">
        <w:rPr>
          <w:szCs w:val="24"/>
        </w:rPr>
        <w:t xml:space="preserve">. </w:t>
      </w:r>
      <w:r w:rsidR="00E267B5" w:rsidRPr="003534FB">
        <w:rPr>
          <w:szCs w:val="24"/>
        </w:rPr>
        <w:t xml:space="preserve">Det som er relevant å legge vekt på i nødvendighetsvurderingen er </w:t>
      </w:r>
      <w:r w:rsidR="00E267B5" w:rsidRPr="003534FB">
        <w:rPr>
          <w:i/>
          <w:szCs w:val="24"/>
        </w:rPr>
        <w:t>begrunnelsen</w:t>
      </w:r>
      <w:r w:rsidR="00E267B5" w:rsidRPr="003534FB">
        <w:rPr>
          <w:szCs w:val="24"/>
        </w:rPr>
        <w:t xml:space="preserve"> for at opplysningene eventuelt er taushetsbelagte</w:t>
      </w:r>
      <w:r w:rsidR="000E70B4">
        <w:rPr>
          <w:szCs w:val="24"/>
        </w:rPr>
        <w:t>,</w:t>
      </w:r>
      <w:r w:rsidR="006A070D" w:rsidRPr="003534FB">
        <w:rPr>
          <w:szCs w:val="24"/>
        </w:rPr>
        <w:t xml:space="preserve"> og i hvor stor grad de hensyn som begrunner taushetsplikten gjør seg gjeldende i den konkrete saken</w:t>
      </w:r>
      <w:r w:rsidR="00E267B5" w:rsidRPr="003534FB">
        <w:rPr>
          <w:szCs w:val="24"/>
        </w:rPr>
        <w:t>. Om en opplysning er undergitt taushetsplikt etter de norske internrettslige reglene</w:t>
      </w:r>
      <w:r w:rsidR="000E70B4">
        <w:rPr>
          <w:szCs w:val="24"/>
        </w:rPr>
        <w:t xml:space="preserve"> </w:t>
      </w:r>
      <w:r w:rsidR="006A070D" w:rsidRPr="003534FB">
        <w:rPr>
          <w:szCs w:val="24"/>
        </w:rPr>
        <w:t xml:space="preserve">er ikke </w:t>
      </w:r>
      <w:r w:rsidR="00E267B5" w:rsidRPr="003534FB">
        <w:rPr>
          <w:i/>
          <w:iCs/>
          <w:szCs w:val="24"/>
        </w:rPr>
        <w:t>i seg selv</w:t>
      </w:r>
      <w:r w:rsidR="00E267B5" w:rsidRPr="003534FB">
        <w:rPr>
          <w:szCs w:val="24"/>
        </w:rPr>
        <w:t xml:space="preserve"> av betydnin</w:t>
      </w:r>
      <w:r w:rsidR="006A070D" w:rsidRPr="003534FB">
        <w:rPr>
          <w:szCs w:val="24"/>
        </w:rPr>
        <w:t xml:space="preserve">g i nødvendighetsvurderingen – det medfører bare at lovskravet i artikkel 10 nr. 2 er oppfylt. </w:t>
      </w:r>
      <w:r w:rsidR="00E267B5" w:rsidRPr="003534FB">
        <w:rPr>
          <w:szCs w:val="24"/>
        </w:rPr>
        <w:t xml:space="preserve"> </w:t>
      </w:r>
    </w:p>
    <w:p w:rsidR="0041112C" w:rsidRPr="008D46E9" w:rsidRDefault="0041112C" w:rsidP="00B61F76">
      <w:pPr>
        <w:rPr>
          <w:szCs w:val="24"/>
        </w:rPr>
      </w:pPr>
    </w:p>
    <w:p w:rsidR="00C8101B" w:rsidRDefault="004F7A2D" w:rsidP="00B61F76">
      <w:pPr>
        <w:rPr>
          <w:szCs w:val="24"/>
        </w:rPr>
      </w:pPr>
      <w:r>
        <w:rPr>
          <w:szCs w:val="24"/>
        </w:rPr>
        <w:t>Vi ber</w:t>
      </w:r>
      <w:r w:rsidR="00C8101B" w:rsidRPr="006A1AF0">
        <w:rPr>
          <w:szCs w:val="24"/>
        </w:rPr>
        <w:t xml:space="preserve"> derfor</w:t>
      </w:r>
      <w:r w:rsidR="003F71AA">
        <w:rPr>
          <w:szCs w:val="24"/>
        </w:rPr>
        <w:t xml:space="preserve"> om at det </w:t>
      </w:r>
      <w:r>
        <w:rPr>
          <w:szCs w:val="24"/>
        </w:rPr>
        <w:t xml:space="preserve">- </w:t>
      </w:r>
      <w:r w:rsidR="00C8101B" w:rsidRPr="006A1AF0">
        <w:rPr>
          <w:szCs w:val="24"/>
        </w:rPr>
        <w:t>under punkt 2</w:t>
      </w:r>
      <w:r w:rsidR="003F71AA">
        <w:rPr>
          <w:szCs w:val="24"/>
        </w:rPr>
        <w:t xml:space="preserve"> </w:t>
      </w:r>
      <w:r>
        <w:rPr>
          <w:szCs w:val="24"/>
        </w:rPr>
        <w:t xml:space="preserve">- </w:t>
      </w:r>
      <w:r w:rsidR="00C8101B" w:rsidRPr="006A1AF0">
        <w:rPr>
          <w:szCs w:val="24"/>
        </w:rPr>
        <w:t>sies noe om at offentlighet og innsyn innen strafferettspleien er</w:t>
      </w:r>
      <w:r w:rsidR="00FB24CD" w:rsidRPr="006A1AF0">
        <w:rPr>
          <w:szCs w:val="24"/>
        </w:rPr>
        <w:t xml:space="preserve"> utslag av </w:t>
      </w:r>
      <w:r w:rsidR="00C8101B" w:rsidRPr="006A1AF0">
        <w:rPr>
          <w:szCs w:val="24"/>
        </w:rPr>
        <w:t>et grunnleggende rett</w:t>
      </w:r>
      <w:r w:rsidR="00FB24CD" w:rsidRPr="006A1AF0">
        <w:rPr>
          <w:szCs w:val="24"/>
        </w:rPr>
        <w:t>s</w:t>
      </w:r>
      <w:r w:rsidR="00C8101B" w:rsidRPr="006A1AF0">
        <w:rPr>
          <w:szCs w:val="24"/>
        </w:rPr>
        <w:t>sikkerhetsprinsipp som vår lovgivning bygger på</w:t>
      </w:r>
      <w:r w:rsidR="00BC155E" w:rsidRPr="006A1AF0">
        <w:rPr>
          <w:szCs w:val="24"/>
        </w:rPr>
        <w:t>,</w:t>
      </w:r>
      <w:r w:rsidR="00C8101B" w:rsidRPr="006A1AF0">
        <w:rPr>
          <w:szCs w:val="24"/>
        </w:rPr>
        <w:t xml:space="preserve"> og at det i størst mulig grad </w:t>
      </w:r>
      <w:r w:rsidR="00FB24CD" w:rsidRPr="006A1AF0">
        <w:rPr>
          <w:szCs w:val="24"/>
        </w:rPr>
        <w:t xml:space="preserve">skal praktiseres åpenhet og innsyn. </w:t>
      </w:r>
    </w:p>
    <w:p w:rsidR="006A1AF0" w:rsidRDefault="006A1AF0" w:rsidP="00B61F76">
      <w:pPr>
        <w:rPr>
          <w:szCs w:val="24"/>
        </w:rPr>
      </w:pPr>
    </w:p>
    <w:p w:rsidR="00D33041" w:rsidRDefault="006A1AF0" w:rsidP="00D33041">
      <w:pPr>
        <w:pStyle w:val="Merknadstekst"/>
        <w:rPr>
          <w:sz w:val="24"/>
        </w:rPr>
      </w:pPr>
      <w:r w:rsidRPr="00D33041">
        <w:rPr>
          <w:sz w:val="24"/>
          <w:szCs w:val="24"/>
        </w:rPr>
        <w:t xml:space="preserve">I den forbindelse vil vi også vise til at Straffeprosesslovutvalget </w:t>
      </w:r>
      <w:r w:rsidR="00D33041" w:rsidRPr="00D33041">
        <w:rPr>
          <w:sz w:val="24"/>
          <w:szCs w:val="24"/>
        </w:rPr>
        <w:t xml:space="preserve">har det prinsipielle utgangspunkt at det skal gis rett til innsyn for sakens parter og andre som har legitim interesse i saken, </w:t>
      </w:r>
      <w:r w:rsidR="00D33041" w:rsidRPr="00D33041">
        <w:rPr>
          <w:sz w:val="24"/>
        </w:rPr>
        <w:t>og at begrensninger i innsyn som hovedregel bør fremkomme av uttømmende lovfestede unntakshjemler, jfr. side 248 i NOU 2016:24.</w:t>
      </w:r>
    </w:p>
    <w:p w:rsidR="00D33041" w:rsidRPr="00D33041" w:rsidRDefault="00D33041" w:rsidP="00D33041">
      <w:pPr>
        <w:pStyle w:val="Merknadstekst"/>
        <w:rPr>
          <w:sz w:val="24"/>
        </w:rPr>
      </w:pPr>
      <w:r w:rsidRPr="00D33041">
        <w:rPr>
          <w:sz w:val="24"/>
        </w:rPr>
        <w:t xml:space="preserve"> </w:t>
      </w:r>
    </w:p>
    <w:p w:rsidR="00D33041" w:rsidRPr="00D33041" w:rsidRDefault="00D33041" w:rsidP="00D33041">
      <w:pPr>
        <w:pStyle w:val="Merknadstekst"/>
        <w:rPr>
          <w:sz w:val="24"/>
        </w:rPr>
      </w:pPr>
      <w:r w:rsidRPr="00D33041">
        <w:rPr>
          <w:sz w:val="24"/>
        </w:rPr>
        <w:t>Videre løftes det også frem at pressens innsynsrett i straffesaksdokumenter bør utredes særskilt for å ivareta pressens kontrollfunksjon og allmenhetens rett til informasjon på dette viktige samfunnsområdet, se NOU 2016:24 s. 252.</w:t>
      </w:r>
    </w:p>
    <w:p w:rsidR="00D33041" w:rsidRDefault="00D33041" w:rsidP="00D33041">
      <w:pPr>
        <w:pStyle w:val="Merknadstekst"/>
        <w:rPr>
          <w:sz w:val="24"/>
        </w:rPr>
      </w:pPr>
    </w:p>
    <w:p w:rsidR="00D33041" w:rsidRPr="00D33041" w:rsidRDefault="00D33041" w:rsidP="00D33041">
      <w:pPr>
        <w:pStyle w:val="Merknadstekst"/>
        <w:rPr>
          <w:sz w:val="24"/>
        </w:rPr>
      </w:pPr>
      <w:r w:rsidRPr="00D33041">
        <w:rPr>
          <w:sz w:val="24"/>
        </w:rPr>
        <w:t xml:space="preserve">Basert på den rettsutvikling som har foregått de siste årene både i EMD </w:t>
      </w:r>
      <w:r w:rsidR="00715E67">
        <w:rPr>
          <w:sz w:val="24"/>
        </w:rPr>
        <w:t>og Høyesterett knyttet til medier</w:t>
      </w:r>
      <w:r w:rsidRPr="00D33041">
        <w:rPr>
          <w:sz w:val="24"/>
        </w:rPr>
        <w:t>s innsynsrett i henhold til EMK art. 10, oppfordres også Riksadvokaten til å ta initiativ overfor myndighetene for å revidere den fragmenterte lovgivningen på dette området.</w:t>
      </w:r>
    </w:p>
    <w:p w:rsidR="006A1AF0" w:rsidRPr="006A1AF0" w:rsidRDefault="006A1AF0" w:rsidP="00B61F76">
      <w:pPr>
        <w:rPr>
          <w:szCs w:val="24"/>
        </w:rPr>
      </w:pPr>
    </w:p>
    <w:p w:rsidR="00D524FE" w:rsidRPr="00D33041" w:rsidRDefault="00D524FE" w:rsidP="002E491C">
      <w:pPr>
        <w:rPr>
          <w:szCs w:val="24"/>
        </w:rPr>
      </w:pPr>
    </w:p>
    <w:p w:rsidR="00D524FE" w:rsidRPr="00D33041" w:rsidRDefault="00D33041" w:rsidP="00D33041">
      <w:pPr>
        <w:pStyle w:val="Listeavsnitt"/>
        <w:ind w:left="0"/>
        <w:rPr>
          <w:rFonts w:ascii="Times New Roman" w:hAnsi="Times New Roman"/>
          <w:b/>
          <w:sz w:val="24"/>
          <w:szCs w:val="24"/>
        </w:rPr>
      </w:pPr>
      <w:r>
        <w:rPr>
          <w:rFonts w:ascii="Times New Roman" w:hAnsi="Times New Roman"/>
          <w:b/>
          <w:sz w:val="24"/>
          <w:szCs w:val="24"/>
        </w:rPr>
        <w:t xml:space="preserve">3. </w:t>
      </w:r>
      <w:r w:rsidR="00D524FE" w:rsidRPr="00D33041">
        <w:rPr>
          <w:rFonts w:ascii="Times New Roman" w:hAnsi="Times New Roman"/>
          <w:b/>
          <w:sz w:val="24"/>
          <w:szCs w:val="24"/>
        </w:rPr>
        <w:t xml:space="preserve">Når </w:t>
      </w:r>
      <w:r w:rsidR="00C61FCF" w:rsidRPr="00D33041">
        <w:rPr>
          <w:rFonts w:ascii="Times New Roman" w:hAnsi="Times New Roman"/>
          <w:b/>
          <w:sz w:val="24"/>
          <w:szCs w:val="24"/>
        </w:rPr>
        <w:t>skal sak anses som avsluttet? (U</w:t>
      </w:r>
      <w:r w:rsidR="00D524FE" w:rsidRPr="00D33041">
        <w:rPr>
          <w:rFonts w:ascii="Times New Roman" w:hAnsi="Times New Roman"/>
          <w:b/>
          <w:sz w:val="24"/>
          <w:szCs w:val="24"/>
        </w:rPr>
        <w:t>tkastets punkt 3.2)</w:t>
      </w:r>
    </w:p>
    <w:p w:rsidR="00BC155E" w:rsidRDefault="007844A1" w:rsidP="00D524FE">
      <w:pPr>
        <w:rPr>
          <w:szCs w:val="24"/>
        </w:rPr>
      </w:pPr>
      <w:r w:rsidRPr="00D33041">
        <w:rPr>
          <w:szCs w:val="24"/>
        </w:rPr>
        <w:t xml:space="preserve">Riksadvokaten legger på side 6 til grunn at en dom må være rettskraftig for at saken skal anses som avsluttet </w:t>
      </w:r>
      <w:r w:rsidR="00BC155E" w:rsidRPr="00D33041">
        <w:rPr>
          <w:szCs w:val="24"/>
        </w:rPr>
        <w:t xml:space="preserve">av retten </w:t>
      </w:r>
      <w:r w:rsidRPr="00D33041">
        <w:rPr>
          <w:szCs w:val="24"/>
        </w:rPr>
        <w:t xml:space="preserve">iht. straffeprosesslovens § 28. Det følger imidlertid ikke av ordlyden i § 28 at det er et krav om at dommen må være rettskraftig. I kommentarutgaven </w:t>
      </w:r>
      <w:r w:rsidR="00BC155E" w:rsidRPr="00D33041">
        <w:rPr>
          <w:szCs w:val="24"/>
        </w:rPr>
        <w:t xml:space="preserve">til straffeprosessloven er det </w:t>
      </w:r>
      <w:r w:rsidRPr="00D33041">
        <w:rPr>
          <w:szCs w:val="24"/>
        </w:rPr>
        <w:t xml:space="preserve">lagt til grunn at det ikke kan stilles et krav </w:t>
      </w:r>
      <w:r w:rsidR="00BC155E" w:rsidRPr="00D33041">
        <w:rPr>
          <w:szCs w:val="24"/>
        </w:rPr>
        <w:t xml:space="preserve">om at dommen er rettskraftig </w:t>
      </w:r>
      <w:r w:rsidRPr="00D33041">
        <w:rPr>
          <w:szCs w:val="24"/>
        </w:rPr>
        <w:t xml:space="preserve">for at saken skal anses som avsluttet av retten iht. § 28, jfr. Bjerke m fl. s. 97 (2011). </w:t>
      </w:r>
    </w:p>
    <w:p w:rsidR="00D33041" w:rsidRPr="00D33041" w:rsidRDefault="00D33041" w:rsidP="00D524FE">
      <w:pPr>
        <w:rPr>
          <w:szCs w:val="24"/>
        </w:rPr>
      </w:pPr>
    </w:p>
    <w:p w:rsidR="0050032E" w:rsidRPr="00D33041" w:rsidRDefault="007844A1" w:rsidP="00D524FE">
      <w:pPr>
        <w:rPr>
          <w:szCs w:val="24"/>
        </w:rPr>
      </w:pPr>
      <w:r w:rsidRPr="00D33041">
        <w:rPr>
          <w:szCs w:val="24"/>
        </w:rPr>
        <w:t xml:space="preserve">Vi ber derfor om at </w:t>
      </w:r>
      <w:r w:rsidR="004F7A2D">
        <w:rPr>
          <w:szCs w:val="24"/>
        </w:rPr>
        <w:t>det i retningslinjene legges</w:t>
      </w:r>
      <w:r w:rsidRPr="00D33041">
        <w:rPr>
          <w:szCs w:val="24"/>
        </w:rPr>
        <w:t xml:space="preserve"> til grunn at saken anses som avsluttet når retten har </w:t>
      </w:r>
      <w:r w:rsidRPr="00D33041">
        <w:rPr>
          <w:i/>
          <w:szCs w:val="24"/>
        </w:rPr>
        <w:t>avsagt</w:t>
      </w:r>
      <w:r w:rsidRPr="00D33041">
        <w:rPr>
          <w:szCs w:val="24"/>
        </w:rPr>
        <w:t xml:space="preserve"> dom.</w:t>
      </w:r>
    </w:p>
    <w:p w:rsidR="0050032E" w:rsidRDefault="0050032E" w:rsidP="00D524FE">
      <w:pPr>
        <w:rPr>
          <w:szCs w:val="24"/>
        </w:rPr>
      </w:pPr>
    </w:p>
    <w:p w:rsidR="00D33041" w:rsidRPr="00D33041" w:rsidRDefault="00D33041" w:rsidP="00D524FE">
      <w:pPr>
        <w:rPr>
          <w:szCs w:val="24"/>
        </w:rPr>
      </w:pPr>
    </w:p>
    <w:p w:rsidR="00D12ED1" w:rsidRPr="00D33041" w:rsidRDefault="00D33041" w:rsidP="00D33041">
      <w:pPr>
        <w:pStyle w:val="Listeavsnitt"/>
        <w:ind w:left="0"/>
        <w:rPr>
          <w:rFonts w:ascii="Times New Roman" w:hAnsi="Times New Roman"/>
          <w:b/>
          <w:sz w:val="24"/>
          <w:szCs w:val="24"/>
        </w:rPr>
      </w:pPr>
      <w:r>
        <w:rPr>
          <w:rFonts w:ascii="Times New Roman" w:hAnsi="Times New Roman"/>
          <w:b/>
          <w:sz w:val="24"/>
          <w:szCs w:val="24"/>
        </w:rPr>
        <w:t>4. Medier</w:t>
      </w:r>
      <w:r w:rsidR="00561881" w:rsidRPr="00D33041">
        <w:rPr>
          <w:rFonts w:ascii="Times New Roman" w:hAnsi="Times New Roman"/>
          <w:b/>
          <w:sz w:val="24"/>
          <w:szCs w:val="24"/>
        </w:rPr>
        <w:t xml:space="preserve"> og saker av allmenn interesse (</w:t>
      </w:r>
      <w:r w:rsidR="00C61FCF" w:rsidRPr="00D33041">
        <w:rPr>
          <w:rFonts w:ascii="Times New Roman" w:hAnsi="Times New Roman"/>
          <w:b/>
          <w:sz w:val="24"/>
          <w:szCs w:val="24"/>
        </w:rPr>
        <w:t>U</w:t>
      </w:r>
      <w:r w:rsidR="0038611C" w:rsidRPr="00D33041">
        <w:rPr>
          <w:rFonts w:ascii="Times New Roman" w:hAnsi="Times New Roman"/>
          <w:b/>
          <w:sz w:val="24"/>
          <w:szCs w:val="24"/>
        </w:rPr>
        <w:t xml:space="preserve">tkastets </w:t>
      </w:r>
      <w:r w:rsidR="00561881" w:rsidRPr="00D33041">
        <w:rPr>
          <w:rFonts w:ascii="Times New Roman" w:hAnsi="Times New Roman"/>
          <w:b/>
          <w:sz w:val="24"/>
          <w:szCs w:val="24"/>
        </w:rPr>
        <w:t>punkt 5)</w:t>
      </w:r>
    </w:p>
    <w:p w:rsidR="00885A40" w:rsidRDefault="008B744A" w:rsidP="00FF674D">
      <w:pPr>
        <w:rPr>
          <w:szCs w:val="24"/>
        </w:rPr>
      </w:pPr>
      <w:r w:rsidRPr="00885A40">
        <w:rPr>
          <w:szCs w:val="24"/>
        </w:rPr>
        <w:t>Vi mener Riksadvokatens utkast gir e</w:t>
      </w:r>
      <w:r w:rsidR="003E66F1" w:rsidRPr="00885A40">
        <w:rPr>
          <w:szCs w:val="24"/>
        </w:rPr>
        <w:t>n</w:t>
      </w:r>
      <w:r w:rsidRPr="00885A40">
        <w:rPr>
          <w:szCs w:val="24"/>
        </w:rPr>
        <w:t xml:space="preserve"> altfor snever tolkning av hva som anses som «allmenn interesse» i lys av EMK artikkel 10 om ytringsfrihet. Dette får også konsekvenser for fortolkningen av Menneskerettsdomstolens praksis under punkt 6.9. </w:t>
      </w:r>
    </w:p>
    <w:p w:rsidR="00885A40" w:rsidRDefault="00885A40" w:rsidP="00FF674D">
      <w:pPr>
        <w:rPr>
          <w:szCs w:val="24"/>
        </w:rPr>
      </w:pPr>
    </w:p>
    <w:p w:rsidR="00FF674D" w:rsidRPr="00885A40" w:rsidRDefault="008D46E9" w:rsidP="00FF674D">
      <w:pPr>
        <w:rPr>
          <w:szCs w:val="24"/>
        </w:rPr>
      </w:pPr>
      <w:r>
        <w:rPr>
          <w:szCs w:val="24"/>
        </w:rPr>
        <w:t>Med informasjon av «</w:t>
      </w:r>
      <w:r w:rsidR="009756E4" w:rsidRPr="00885A40">
        <w:rPr>
          <w:szCs w:val="24"/>
        </w:rPr>
        <w:t>allmenn interesse</w:t>
      </w:r>
      <w:r>
        <w:rPr>
          <w:szCs w:val="24"/>
        </w:rPr>
        <w:t>»</w:t>
      </w:r>
      <w:r w:rsidR="009756E4" w:rsidRPr="00885A40">
        <w:rPr>
          <w:szCs w:val="24"/>
        </w:rPr>
        <w:t xml:space="preserve"> menes samfunnsrelevant informasjon, og det følger av praksis fra EMD at det ikke skal mye til før informasjon regnes for å ha allmenn interesse. Når det gjelder straffesaker må utgangspunktet være at de har allmenn interesse. </w:t>
      </w:r>
      <w:r>
        <w:rPr>
          <w:szCs w:val="24"/>
        </w:rPr>
        <w:t>Som Ragna Aarli skriver i «</w:t>
      </w:r>
      <w:r w:rsidR="00281939" w:rsidRPr="00885A40">
        <w:rPr>
          <w:szCs w:val="24"/>
        </w:rPr>
        <w:t>Offentlig rettergang</w:t>
      </w:r>
      <w:r>
        <w:rPr>
          <w:szCs w:val="24"/>
        </w:rPr>
        <w:t>»</w:t>
      </w:r>
      <w:r w:rsidR="00BC155E" w:rsidRPr="00885A40">
        <w:rPr>
          <w:szCs w:val="24"/>
        </w:rPr>
        <w:t xml:space="preserve"> (</w:t>
      </w:r>
      <w:r w:rsidR="00281939" w:rsidRPr="00885A40">
        <w:rPr>
          <w:szCs w:val="24"/>
        </w:rPr>
        <w:t>2010</w:t>
      </w:r>
      <w:r w:rsidR="00BC155E" w:rsidRPr="00885A40">
        <w:rPr>
          <w:szCs w:val="24"/>
        </w:rPr>
        <w:t>)</w:t>
      </w:r>
      <w:r w:rsidR="00281939" w:rsidRPr="00885A40">
        <w:rPr>
          <w:szCs w:val="24"/>
        </w:rPr>
        <w:t xml:space="preserve"> på side 210 er straffbare forhold av offentlig interesse. (Det skal i denne sammen</w:t>
      </w:r>
      <w:r w:rsidR="008748C0" w:rsidRPr="00885A40">
        <w:rPr>
          <w:szCs w:val="24"/>
        </w:rPr>
        <w:t>hen</w:t>
      </w:r>
      <w:r>
        <w:rPr>
          <w:szCs w:val="24"/>
        </w:rPr>
        <w:t>g påpekes at «</w:t>
      </w:r>
      <w:r w:rsidR="00281939" w:rsidRPr="00885A40">
        <w:rPr>
          <w:szCs w:val="24"/>
        </w:rPr>
        <w:t>offentlig interesse</w:t>
      </w:r>
      <w:r>
        <w:rPr>
          <w:szCs w:val="24"/>
        </w:rPr>
        <w:t>» og «</w:t>
      </w:r>
      <w:r w:rsidR="00281939" w:rsidRPr="00885A40">
        <w:rPr>
          <w:szCs w:val="24"/>
        </w:rPr>
        <w:t>allmenn interesse</w:t>
      </w:r>
      <w:r>
        <w:rPr>
          <w:szCs w:val="24"/>
        </w:rPr>
        <w:t>»</w:t>
      </w:r>
      <w:r w:rsidR="00281939" w:rsidRPr="00885A40">
        <w:rPr>
          <w:szCs w:val="24"/>
        </w:rPr>
        <w:t xml:space="preserve"> må </w:t>
      </w:r>
      <w:r w:rsidR="008748C0" w:rsidRPr="00885A40">
        <w:rPr>
          <w:szCs w:val="24"/>
        </w:rPr>
        <w:t>ansees som synonymer og brukes om hverandre i aktuelle rettskilder.)</w:t>
      </w:r>
      <w:r w:rsidR="00281939" w:rsidRPr="00885A40">
        <w:rPr>
          <w:szCs w:val="24"/>
        </w:rPr>
        <w:t xml:space="preserve"> </w:t>
      </w:r>
      <w:r w:rsidR="00FF674D" w:rsidRPr="00885A40">
        <w:rPr>
          <w:szCs w:val="24"/>
        </w:rPr>
        <w:t xml:space="preserve">Aarli skriver blant annet: </w:t>
      </w:r>
    </w:p>
    <w:p w:rsidR="00FF674D" w:rsidRPr="008D46E9" w:rsidRDefault="00FF674D" w:rsidP="00FF674D">
      <w:pPr>
        <w:rPr>
          <w:szCs w:val="24"/>
        </w:rPr>
      </w:pPr>
    </w:p>
    <w:p w:rsidR="008748C0" w:rsidRPr="00885A40" w:rsidRDefault="008D46E9" w:rsidP="000C351E">
      <w:pPr>
        <w:ind w:left="708"/>
        <w:rPr>
          <w:i/>
          <w:szCs w:val="24"/>
          <w:lang w:val="en-US"/>
        </w:rPr>
      </w:pPr>
      <w:r>
        <w:rPr>
          <w:i/>
          <w:szCs w:val="24"/>
        </w:rPr>
        <w:t>«</w:t>
      </w:r>
      <w:r w:rsidR="00FF674D" w:rsidRPr="00885A40">
        <w:rPr>
          <w:i/>
          <w:szCs w:val="24"/>
        </w:rPr>
        <w:t xml:space="preserve">Det er i utgangspunktet i samfunnets interesse at straffesaker blir omtalt. Hensynet til allmennprevensjon forutsetter at publikum blir gjort kjent med hvilke handlinger som er kriminalisert og hva som blir virkningen av lovbrudd. </w:t>
      </w:r>
      <w:r w:rsidR="00FF674D" w:rsidRPr="00885A40">
        <w:rPr>
          <w:i/>
          <w:szCs w:val="24"/>
          <w:u w:val="single"/>
        </w:rPr>
        <w:t xml:space="preserve">Når myndighetene har innledet straffeforfølgning, vil det </w:t>
      </w:r>
      <w:r w:rsidR="000C351E" w:rsidRPr="00885A40">
        <w:rPr>
          <w:i/>
          <w:szCs w:val="24"/>
          <w:u w:val="single"/>
        </w:rPr>
        <w:t xml:space="preserve">dessuten </w:t>
      </w:r>
      <w:r w:rsidR="00FF674D" w:rsidRPr="00885A40">
        <w:rPr>
          <w:i/>
          <w:szCs w:val="24"/>
          <w:u w:val="single"/>
        </w:rPr>
        <w:t xml:space="preserve">foreligge en </w:t>
      </w:r>
      <w:r w:rsidR="000C351E" w:rsidRPr="00885A40">
        <w:rPr>
          <w:i/>
          <w:szCs w:val="24"/>
          <w:u w:val="single"/>
        </w:rPr>
        <w:t xml:space="preserve">offentlig </w:t>
      </w:r>
      <w:r w:rsidR="00FF674D" w:rsidRPr="00885A40">
        <w:rPr>
          <w:i/>
          <w:szCs w:val="24"/>
          <w:u w:val="single"/>
        </w:rPr>
        <w:t>interesse i å overvå</w:t>
      </w:r>
      <w:r w:rsidR="000C351E" w:rsidRPr="00885A40">
        <w:rPr>
          <w:i/>
          <w:szCs w:val="24"/>
          <w:u w:val="single"/>
        </w:rPr>
        <w:t>ke og kontrollere at forfø</w:t>
      </w:r>
      <w:r w:rsidR="00FF674D" w:rsidRPr="00885A40">
        <w:rPr>
          <w:i/>
          <w:szCs w:val="24"/>
          <w:u w:val="single"/>
        </w:rPr>
        <w:t>lgningen er forsvarlig</w:t>
      </w:r>
      <w:r w:rsidR="000C351E" w:rsidRPr="00885A40">
        <w:rPr>
          <w:i/>
          <w:szCs w:val="24"/>
          <w:u w:val="single"/>
        </w:rPr>
        <w:t>.</w:t>
      </w:r>
      <w:r w:rsidR="000C351E" w:rsidRPr="00885A40">
        <w:rPr>
          <w:i/>
          <w:szCs w:val="24"/>
        </w:rPr>
        <w:t xml:space="preserve"> </w:t>
      </w:r>
      <w:r w:rsidR="000C351E" w:rsidRPr="00885A40">
        <w:rPr>
          <w:i/>
          <w:szCs w:val="24"/>
          <w:lang w:val="en-US"/>
        </w:rPr>
        <w:t xml:space="preserve">EMD </w:t>
      </w:r>
      <w:proofErr w:type="spellStart"/>
      <w:r w:rsidR="000C351E" w:rsidRPr="00885A40">
        <w:rPr>
          <w:i/>
          <w:szCs w:val="24"/>
          <w:lang w:val="en-US"/>
        </w:rPr>
        <w:t>har</w:t>
      </w:r>
      <w:proofErr w:type="spellEnd"/>
      <w:r w:rsidR="000C351E" w:rsidRPr="00885A40">
        <w:rPr>
          <w:i/>
          <w:szCs w:val="24"/>
          <w:lang w:val="en-US"/>
        </w:rPr>
        <w:t xml:space="preserve"> </w:t>
      </w:r>
      <w:proofErr w:type="spellStart"/>
      <w:r w:rsidR="000C351E" w:rsidRPr="00885A40">
        <w:rPr>
          <w:i/>
          <w:szCs w:val="24"/>
          <w:lang w:val="en-US"/>
        </w:rPr>
        <w:t>uttrykkelig</w:t>
      </w:r>
      <w:proofErr w:type="spellEnd"/>
      <w:r w:rsidR="000C351E" w:rsidRPr="00885A40">
        <w:rPr>
          <w:i/>
          <w:szCs w:val="24"/>
          <w:lang w:val="en-US"/>
        </w:rPr>
        <w:t xml:space="preserve"> </w:t>
      </w:r>
      <w:proofErr w:type="spellStart"/>
      <w:r w:rsidR="000C351E" w:rsidRPr="00885A40">
        <w:rPr>
          <w:i/>
          <w:szCs w:val="24"/>
          <w:lang w:val="en-US"/>
        </w:rPr>
        <w:t>presisert</w:t>
      </w:r>
      <w:proofErr w:type="spellEnd"/>
      <w:r w:rsidR="000C351E" w:rsidRPr="00885A40">
        <w:rPr>
          <w:i/>
          <w:szCs w:val="24"/>
          <w:lang w:val="en-US"/>
        </w:rPr>
        <w:t xml:space="preserve"> at </w:t>
      </w:r>
      <w:r w:rsidRPr="000E70B4">
        <w:rPr>
          <w:szCs w:val="24"/>
          <w:lang w:val="en-US"/>
        </w:rPr>
        <w:t>«</w:t>
      </w:r>
      <w:r w:rsidR="000C351E" w:rsidRPr="00885A40">
        <w:rPr>
          <w:i/>
          <w:szCs w:val="24"/>
          <w:u w:val="single"/>
          <w:lang w:val="en-US"/>
        </w:rPr>
        <w:t xml:space="preserve">[t]he importance of the media`s role in the area of criminal justice is … very widely </w:t>
      </w:r>
      <w:proofErr w:type="gramStart"/>
      <w:r w:rsidR="007844A1" w:rsidRPr="00885A40">
        <w:rPr>
          <w:i/>
          <w:szCs w:val="24"/>
          <w:u w:val="single"/>
          <w:lang w:val="en-US"/>
        </w:rPr>
        <w:t>recognized</w:t>
      </w:r>
      <w:r>
        <w:rPr>
          <w:i/>
          <w:szCs w:val="24"/>
          <w:lang w:val="en-US"/>
        </w:rPr>
        <w:t>.</w:t>
      </w:r>
      <w:r w:rsidRPr="000E70B4">
        <w:rPr>
          <w:szCs w:val="24"/>
          <w:lang w:val="en-US"/>
        </w:rPr>
        <w:t>»</w:t>
      </w:r>
      <w:proofErr w:type="gramEnd"/>
    </w:p>
    <w:p w:rsidR="000C351E" w:rsidRPr="008D46E9" w:rsidRDefault="000C351E" w:rsidP="000C351E">
      <w:pPr>
        <w:rPr>
          <w:szCs w:val="24"/>
          <w:lang w:val="en-US"/>
        </w:rPr>
      </w:pPr>
    </w:p>
    <w:p w:rsidR="001944D6" w:rsidRPr="00885A40" w:rsidRDefault="00587002" w:rsidP="000C351E">
      <w:pPr>
        <w:rPr>
          <w:szCs w:val="24"/>
        </w:rPr>
      </w:pPr>
      <w:r w:rsidRPr="00885A40">
        <w:rPr>
          <w:szCs w:val="24"/>
        </w:rPr>
        <w:t>S</w:t>
      </w:r>
      <w:r w:rsidR="000C351E" w:rsidRPr="00885A40">
        <w:rPr>
          <w:szCs w:val="24"/>
        </w:rPr>
        <w:t>aker der det er innledet straffeforfølgning</w:t>
      </w:r>
      <w:r w:rsidRPr="00885A40">
        <w:rPr>
          <w:szCs w:val="24"/>
        </w:rPr>
        <w:t xml:space="preserve"> vil således i utgangspunktet</w:t>
      </w:r>
      <w:r w:rsidR="000C351E" w:rsidRPr="00885A40">
        <w:rPr>
          <w:szCs w:val="24"/>
        </w:rPr>
        <w:t xml:space="preserve"> </w:t>
      </w:r>
      <w:r w:rsidRPr="00885A40">
        <w:rPr>
          <w:szCs w:val="24"/>
        </w:rPr>
        <w:t>ha allmenn i</w:t>
      </w:r>
      <w:r w:rsidR="00885A40" w:rsidRPr="00885A40">
        <w:rPr>
          <w:szCs w:val="24"/>
        </w:rPr>
        <w:t>nteresse – i alle fall når medier</w:t>
      </w:r>
      <w:r w:rsidRPr="00885A40">
        <w:rPr>
          <w:szCs w:val="24"/>
        </w:rPr>
        <w:t xml:space="preserve"> b</w:t>
      </w:r>
      <w:r w:rsidR="00885A40" w:rsidRPr="00885A40">
        <w:rPr>
          <w:szCs w:val="24"/>
        </w:rPr>
        <w:t>er om innsyn. Dette, fordi mediene</w:t>
      </w:r>
      <w:r w:rsidRPr="00885A40">
        <w:rPr>
          <w:szCs w:val="24"/>
        </w:rPr>
        <w:t xml:space="preserve">s oppgave i et demokratisk samfunn nettopp er å kontrollere myndighetsutøvelsen og å gi befolkningen informasjon av allmenn interesse. </w:t>
      </w:r>
      <w:r w:rsidR="001944D6" w:rsidRPr="00885A40">
        <w:rPr>
          <w:szCs w:val="24"/>
        </w:rPr>
        <w:t>Det blir derfor f</w:t>
      </w:r>
      <w:r w:rsidR="008D46E9">
        <w:rPr>
          <w:szCs w:val="24"/>
        </w:rPr>
        <w:t>eil når det i utkastet står at «</w:t>
      </w:r>
      <w:r w:rsidR="001944D6" w:rsidRPr="00885A40">
        <w:rPr>
          <w:i/>
          <w:szCs w:val="24"/>
        </w:rPr>
        <w:t>Mange straffesaker har en viss allmenn interesse, slik at dette alene ikke vil være tilstrekkelig til å gjøre unntak fra love</w:t>
      </w:r>
      <w:r w:rsidR="008D46E9">
        <w:rPr>
          <w:i/>
          <w:szCs w:val="24"/>
        </w:rPr>
        <w:t>ns hovedregel om taushetsplikt.»</w:t>
      </w:r>
    </w:p>
    <w:p w:rsidR="000C351E" w:rsidRPr="00885A40" w:rsidRDefault="00587002" w:rsidP="000C351E">
      <w:pPr>
        <w:rPr>
          <w:szCs w:val="24"/>
        </w:rPr>
      </w:pPr>
      <w:r w:rsidRPr="00885A40">
        <w:rPr>
          <w:szCs w:val="24"/>
        </w:rPr>
        <w:t xml:space="preserve">Så vil </w:t>
      </w:r>
      <w:r w:rsidR="00D74AB2" w:rsidRPr="00885A40">
        <w:rPr>
          <w:szCs w:val="24"/>
        </w:rPr>
        <w:t>straffesaker</w:t>
      </w:r>
      <w:r w:rsidRPr="00885A40">
        <w:rPr>
          <w:szCs w:val="24"/>
        </w:rPr>
        <w:t xml:space="preserve"> selvsagt ha større eller mindre allmenn interesse</w:t>
      </w:r>
      <w:r w:rsidR="001944D6" w:rsidRPr="00885A40">
        <w:rPr>
          <w:szCs w:val="24"/>
        </w:rPr>
        <w:t xml:space="preserve">, men </w:t>
      </w:r>
      <w:r w:rsidR="00D74AB2" w:rsidRPr="00885A40">
        <w:rPr>
          <w:szCs w:val="24"/>
        </w:rPr>
        <w:t>hvor stor allmenn</w:t>
      </w:r>
      <w:r w:rsidR="00BC155E" w:rsidRPr="00885A40">
        <w:rPr>
          <w:szCs w:val="24"/>
        </w:rPr>
        <w:t xml:space="preserve"> </w:t>
      </w:r>
      <w:r w:rsidR="00D74AB2" w:rsidRPr="00885A40">
        <w:rPr>
          <w:szCs w:val="24"/>
        </w:rPr>
        <w:t xml:space="preserve">interesse saken har </w:t>
      </w:r>
      <w:r w:rsidR="001944D6" w:rsidRPr="00885A40">
        <w:rPr>
          <w:szCs w:val="24"/>
        </w:rPr>
        <w:t xml:space="preserve">vil avhenge av en rekke faktorer fastsatt i rettspraksis. </w:t>
      </w:r>
      <w:r w:rsidR="00657E17" w:rsidRPr="00885A40">
        <w:rPr>
          <w:szCs w:val="24"/>
        </w:rPr>
        <w:t>Det kan</w:t>
      </w:r>
      <w:r w:rsidR="004B7C0F" w:rsidRPr="00885A40">
        <w:rPr>
          <w:szCs w:val="24"/>
        </w:rPr>
        <w:t xml:space="preserve"> for øvrig vises til </w:t>
      </w:r>
      <w:r w:rsidR="008D46E9">
        <w:rPr>
          <w:szCs w:val="24"/>
        </w:rPr>
        <w:t>Hovlid «</w:t>
      </w:r>
      <w:r w:rsidR="00657E17" w:rsidRPr="00885A40">
        <w:rPr>
          <w:szCs w:val="24"/>
        </w:rPr>
        <w:t>Vern av privatlivets fred</w:t>
      </w:r>
      <w:r w:rsidR="008D46E9">
        <w:rPr>
          <w:szCs w:val="24"/>
        </w:rPr>
        <w:t>»</w:t>
      </w:r>
      <w:r w:rsidR="00657E17" w:rsidRPr="00885A40">
        <w:rPr>
          <w:szCs w:val="24"/>
        </w:rPr>
        <w:t xml:space="preserve"> fra 2015 kapittel 9</w:t>
      </w:r>
      <w:r w:rsidR="008C2761">
        <w:rPr>
          <w:szCs w:val="24"/>
        </w:rPr>
        <w:t>,</w:t>
      </w:r>
      <w:r w:rsidR="004B7C0F" w:rsidRPr="00885A40">
        <w:rPr>
          <w:szCs w:val="24"/>
        </w:rPr>
        <w:t xml:space="preserve"> der det vises til en lang rekke avgjørelser fra EMD (og Høyesterett) som gjaldt saker av allmenn interesse</w:t>
      </w:r>
      <w:r w:rsidR="00D74AB2" w:rsidRPr="00885A40">
        <w:rPr>
          <w:szCs w:val="24"/>
        </w:rPr>
        <w:t>. Gjennom</w:t>
      </w:r>
      <w:r w:rsidR="00885A40" w:rsidRPr="00885A40">
        <w:rPr>
          <w:szCs w:val="24"/>
        </w:rPr>
        <w:softHyphen/>
      </w:r>
      <w:r w:rsidR="00D74AB2" w:rsidRPr="00885A40">
        <w:rPr>
          <w:szCs w:val="24"/>
        </w:rPr>
        <w:t>g</w:t>
      </w:r>
      <w:r w:rsidR="00885A40" w:rsidRPr="00885A40">
        <w:rPr>
          <w:szCs w:val="24"/>
        </w:rPr>
        <w:t>åelsen</w:t>
      </w:r>
      <w:r w:rsidR="00D74AB2" w:rsidRPr="00885A40">
        <w:rPr>
          <w:szCs w:val="24"/>
        </w:rPr>
        <w:t xml:space="preserve"> viser at det </w:t>
      </w:r>
      <w:r w:rsidR="004B7C0F" w:rsidRPr="00885A40">
        <w:rPr>
          <w:szCs w:val="24"/>
        </w:rPr>
        <w:t>ikke skal</w:t>
      </w:r>
      <w:r w:rsidR="00D74AB2" w:rsidRPr="00885A40">
        <w:rPr>
          <w:szCs w:val="24"/>
        </w:rPr>
        <w:t xml:space="preserve"> særlig</w:t>
      </w:r>
      <w:r w:rsidR="004B7C0F" w:rsidRPr="00885A40">
        <w:rPr>
          <w:szCs w:val="24"/>
        </w:rPr>
        <w:t xml:space="preserve"> mye til før informasjon ansees</w:t>
      </w:r>
      <w:r w:rsidR="00FC32E1" w:rsidRPr="00885A40">
        <w:rPr>
          <w:szCs w:val="24"/>
        </w:rPr>
        <w:t xml:space="preserve"> for </w:t>
      </w:r>
      <w:r w:rsidR="004B7C0F" w:rsidRPr="00885A40">
        <w:rPr>
          <w:szCs w:val="24"/>
        </w:rPr>
        <w:t xml:space="preserve">å ha allmenn interesse. </w:t>
      </w:r>
      <w:r w:rsidR="00FC32E1" w:rsidRPr="00885A40">
        <w:rPr>
          <w:szCs w:val="24"/>
        </w:rPr>
        <w:t>Det kan her eksempelvis vises til storkammerav</w:t>
      </w:r>
      <w:r w:rsidR="00885A40" w:rsidRPr="00885A40">
        <w:rPr>
          <w:szCs w:val="24"/>
        </w:rPr>
        <w:t>gjørelsene v</w:t>
      </w:r>
      <w:r w:rsidR="00FC32E1" w:rsidRPr="00885A40">
        <w:rPr>
          <w:szCs w:val="24"/>
        </w:rPr>
        <w:t xml:space="preserve">on Hannover mot </w:t>
      </w:r>
      <w:r w:rsidR="006E315B" w:rsidRPr="00885A40">
        <w:rPr>
          <w:szCs w:val="24"/>
        </w:rPr>
        <w:t>Tysk</w:t>
      </w:r>
      <w:r w:rsidR="00FC32E1" w:rsidRPr="00885A40">
        <w:rPr>
          <w:szCs w:val="24"/>
        </w:rPr>
        <w:t xml:space="preserve">land </w:t>
      </w:r>
      <w:r w:rsidR="006E315B" w:rsidRPr="00885A40">
        <w:rPr>
          <w:szCs w:val="24"/>
        </w:rPr>
        <w:t>og Axel Springer AG mot Tyskland av 7. februar 2012</w:t>
      </w:r>
      <w:r w:rsidR="00657E17" w:rsidRPr="00885A40">
        <w:rPr>
          <w:szCs w:val="24"/>
        </w:rPr>
        <w:t>.</w:t>
      </w:r>
      <w:r w:rsidR="006E315B" w:rsidRPr="00885A40">
        <w:rPr>
          <w:szCs w:val="24"/>
        </w:rPr>
        <w:t xml:space="preserve"> </w:t>
      </w:r>
      <w:r w:rsidR="00D74AB2" w:rsidRPr="00885A40">
        <w:rPr>
          <w:szCs w:val="24"/>
        </w:rPr>
        <w:t>I d</w:t>
      </w:r>
      <w:r w:rsidR="006E315B" w:rsidRPr="00885A40">
        <w:rPr>
          <w:szCs w:val="24"/>
        </w:rPr>
        <w:t xml:space="preserve">en første saken hadde det en viss allmenn interesse å publisere bilder av prinsesse Caroline av Monaco i private </w:t>
      </w:r>
      <w:proofErr w:type="spellStart"/>
      <w:r w:rsidR="006E315B" w:rsidRPr="00885A40">
        <w:rPr>
          <w:szCs w:val="24"/>
        </w:rPr>
        <w:t>feriesituasjoner</w:t>
      </w:r>
      <w:proofErr w:type="spellEnd"/>
      <w:r w:rsidR="008C2761">
        <w:rPr>
          <w:szCs w:val="24"/>
        </w:rPr>
        <w:t>,</w:t>
      </w:r>
      <w:r w:rsidR="006E315B" w:rsidRPr="00885A40">
        <w:rPr>
          <w:szCs w:val="24"/>
        </w:rPr>
        <w:t xml:space="preserve"> fordi noe av poenget med oppslaget var </w:t>
      </w:r>
      <w:r w:rsidR="00D94DC5" w:rsidRPr="00885A40">
        <w:rPr>
          <w:szCs w:val="24"/>
        </w:rPr>
        <w:t>henn</w:t>
      </w:r>
      <w:r w:rsidR="00885A40" w:rsidRPr="00885A40">
        <w:rPr>
          <w:szCs w:val="24"/>
        </w:rPr>
        <w:t>es fars – Monacos statsoverhode</w:t>
      </w:r>
      <w:r w:rsidR="00D94DC5" w:rsidRPr="00885A40">
        <w:rPr>
          <w:szCs w:val="24"/>
        </w:rPr>
        <w:t>s - helse</w:t>
      </w:r>
      <w:r w:rsidR="00394002" w:rsidRPr="00885A40">
        <w:rPr>
          <w:szCs w:val="24"/>
        </w:rPr>
        <w:t>,</w:t>
      </w:r>
      <w:r w:rsidR="00657E17" w:rsidRPr="00885A40">
        <w:rPr>
          <w:szCs w:val="24"/>
        </w:rPr>
        <w:t xml:space="preserve"> </w:t>
      </w:r>
      <w:r w:rsidR="00D94DC5" w:rsidRPr="00885A40">
        <w:rPr>
          <w:szCs w:val="24"/>
        </w:rPr>
        <w:t xml:space="preserve">og at hun var på ferie istedenfor å være hjemme med han. Den andre saken gjaldt publisering av opplysninger om at en kjent skuespiller ble pågrepet for bruk/besittelse av en mindre mengde kokain. </w:t>
      </w:r>
      <w:r w:rsidRPr="00885A40">
        <w:rPr>
          <w:szCs w:val="24"/>
        </w:rPr>
        <w:t xml:space="preserve"> </w:t>
      </w:r>
    </w:p>
    <w:p w:rsidR="000C351E" w:rsidRPr="008D46E9" w:rsidRDefault="000C351E" w:rsidP="000C351E">
      <w:pPr>
        <w:rPr>
          <w:szCs w:val="24"/>
        </w:rPr>
      </w:pPr>
    </w:p>
    <w:p w:rsidR="000E63B9" w:rsidRPr="00885A40" w:rsidRDefault="000E63B9" w:rsidP="000C351E">
      <w:pPr>
        <w:rPr>
          <w:szCs w:val="24"/>
        </w:rPr>
      </w:pPr>
      <w:r w:rsidRPr="00885A40">
        <w:rPr>
          <w:szCs w:val="24"/>
        </w:rPr>
        <w:t>Vi mener også at det under punkt 5 bør fremkomme at medienes research-fase er særskilt beskyttet. Dette følger at rettspraksis fra EMD, og er også fastslått av Høyesterett, jfr. R</w:t>
      </w:r>
      <w:r w:rsidR="00BC155E" w:rsidRPr="00885A40">
        <w:rPr>
          <w:szCs w:val="24"/>
        </w:rPr>
        <w:t>t.</w:t>
      </w:r>
      <w:r w:rsidR="00D9355E" w:rsidRPr="00885A40">
        <w:rPr>
          <w:szCs w:val="24"/>
        </w:rPr>
        <w:t>2013</w:t>
      </w:r>
      <w:r w:rsidR="00BC155E" w:rsidRPr="00885A40">
        <w:rPr>
          <w:szCs w:val="24"/>
        </w:rPr>
        <w:t xml:space="preserve"> s.</w:t>
      </w:r>
      <w:r w:rsidR="00D9355E" w:rsidRPr="00885A40">
        <w:rPr>
          <w:szCs w:val="24"/>
        </w:rPr>
        <w:t xml:space="preserve">374 avsnitt 50: </w:t>
      </w:r>
    </w:p>
    <w:p w:rsidR="00D9355E" w:rsidRPr="00885A40" w:rsidRDefault="00D9355E" w:rsidP="000C351E">
      <w:pPr>
        <w:rPr>
          <w:szCs w:val="24"/>
        </w:rPr>
      </w:pPr>
    </w:p>
    <w:p w:rsidR="00D9355E" w:rsidRPr="00885A40" w:rsidRDefault="0085731B" w:rsidP="00D9355E">
      <w:pPr>
        <w:ind w:left="708"/>
        <w:rPr>
          <w:i/>
          <w:szCs w:val="24"/>
          <w:lang w:val="en-US"/>
        </w:rPr>
      </w:pPr>
      <w:r>
        <w:rPr>
          <w:i/>
          <w:szCs w:val="24"/>
        </w:rPr>
        <w:t>«</w:t>
      </w:r>
      <w:r w:rsidR="00D9355E" w:rsidRPr="00885A40">
        <w:rPr>
          <w:i/>
          <w:szCs w:val="24"/>
        </w:rPr>
        <w:t xml:space="preserve">Pressen har en </w:t>
      </w:r>
      <w:r w:rsidR="00D9355E" w:rsidRPr="00885A40">
        <w:rPr>
          <w:i/>
          <w:szCs w:val="24"/>
          <w:u w:val="single"/>
        </w:rPr>
        <w:t>anerkjent og viktig funksjon som vokter</w:t>
      </w:r>
      <w:r w:rsidR="00D9355E" w:rsidRPr="00885A40">
        <w:rPr>
          <w:i/>
          <w:szCs w:val="24"/>
        </w:rPr>
        <w:t xml:space="preserve"> av blant annet organer og personer som utøver offentlig myndighet, herunder </w:t>
      </w:r>
      <w:r w:rsidR="00D9355E" w:rsidRPr="00885A40">
        <w:rPr>
          <w:i/>
          <w:szCs w:val="24"/>
          <w:u w:val="single"/>
        </w:rPr>
        <w:t>domstoler og andre aktører i rettspleien</w:t>
      </w:r>
      <w:r w:rsidR="00D9355E" w:rsidRPr="00885A40">
        <w:rPr>
          <w:i/>
          <w:szCs w:val="24"/>
        </w:rPr>
        <w:t xml:space="preserve">. Dette er også fremhevet av EMD, blant annet i Tarsasag-saken, der funksjonen som «watchdog» trekkes frem i avsnitt 26. Også i andre sammenhenger har EMD gitt uttrykk for behovet for å </w:t>
      </w:r>
      <w:r w:rsidR="00D9355E" w:rsidRPr="00885A40">
        <w:rPr>
          <w:i/>
          <w:szCs w:val="24"/>
          <w:u w:val="single"/>
        </w:rPr>
        <w:t>beskytte journalisters muligheter til å foreta undersøkelser</w:t>
      </w:r>
      <w:r w:rsidR="00D9355E" w:rsidRPr="00885A40">
        <w:rPr>
          <w:i/>
          <w:szCs w:val="24"/>
        </w:rPr>
        <w:t xml:space="preserve">. Saken Dammann mot Sveits (EMD 25. april 2006) (EMD-2001-77551) gjaldt en journalist som ble ilagt en bot for over telefon å ha mottatt konfidensielle opplysninger fra en underordnet assistent ved påtalemyndighetens kontor. Saken gjaldt altså </w:t>
      </w:r>
      <w:r w:rsidR="00D9355E" w:rsidRPr="00885A40">
        <w:rPr>
          <w:i/>
          <w:szCs w:val="24"/>
          <w:u w:val="single"/>
        </w:rPr>
        <w:t>journalistens arbeid på undersøkelsesstadiet</w:t>
      </w:r>
      <w:r w:rsidR="00D9355E" w:rsidRPr="00885A40">
        <w:rPr>
          <w:i/>
          <w:szCs w:val="24"/>
        </w:rPr>
        <w:t xml:space="preserve">. Domstolen ga uttrykk for at denne fasen «called for the closest scrutiny on account of the great danger represented by the sort of restriction on freedom of expression», jf. </w:t>
      </w:r>
      <w:r w:rsidR="00D9355E" w:rsidRPr="00885A40">
        <w:rPr>
          <w:i/>
          <w:szCs w:val="24"/>
          <w:lang w:val="en-US"/>
        </w:rPr>
        <w:t>Information Note on the Court's case-law No. 85</w:t>
      </w:r>
      <w:r w:rsidR="002E491C" w:rsidRPr="00885A40">
        <w:rPr>
          <w:i/>
          <w:szCs w:val="24"/>
          <w:lang w:val="en-US"/>
        </w:rPr>
        <w:t xml:space="preserve"> [</w:t>
      </w:r>
      <w:proofErr w:type="spellStart"/>
      <w:r w:rsidR="002E491C" w:rsidRPr="00885A40">
        <w:rPr>
          <w:i/>
          <w:szCs w:val="24"/>
          <w:lang w:val="en-US"/>
        </w:rPr>
        <w:t>våre</w:t>
      </w:r>
      <w:proofErr w:type="spellEnd"/>
      <w:r w:rsidR="002E491C" w:rsidRPr="00885A40">
        <w:rPr>
          <w:i/>
          <w:szCs w:val="24"/>
          <w:lang w:val="en-US"/>
        </w:rPr>
        <w:t xml:space="preserve"> </w:t>
      </w:r>
      <w:proofErr w:type="spellStart"/>
      <w:r w:rsidR="002E491C" w:rsidRPr="00885A40">
        <w:rPr>
          <w:i/>
          <w:szCs w:val="24"/>
          <w:lang w:val="en-US"/>
        </w:rPr>
        <w:t>understrekninger</w:t>
      </w:r>
      <w:proofErr w:type="spellEnd"/>
      <w:r w:rsidR="002E491C" w:rsidRPr="00885A40">
        <w:rPr>
          <w:i/>
          <w:szCs w:val="24"/>
          <w:lang w:val="en-US"/>
        </w:rPr>
        <w:t>]</w:t>
      </w:r>
      <w:r>
        <w:rPr>
          <w:i/>
          <w:szCs w:val="24"/>
          <w:lang w:val="en-US"/>
        </w:rPr>
        <w:t>.</w:t>
      </w:r>
      <w:r w:rsidRPr="00843E59">
        <w:rPr>
          <w:szCs w:val="24"/>
          <w:lang w:val="en-US"/>
        </w:rPr>
        <w:t>»</w:t>
      </w:r>
    </w:p>
    <w:p w:rsidR="00D9355E" w:rsidRPr="0085731B" w:rsidRDefault="00D9355E" w:rsidP="000C351E">
      <w:pPr>
        <w:rPr>
          <w:szCs w:val="24"/>
          <w:lang w:val="en-US"/>
        </w:rPr>
      </w:pPr>
    </w:p>
    <w:p w:rsidR="00865335" w:rsidRPr="00885A40" w:rsidRDefault="00D9355E" w:rsidP="000C351E">
      <w:pPr>
        <w:rPr>
          <w:szCs w:val="24"/>
        </w:rPr>
      </w:pPr>
      <w:r w:rsidRPr="00885A40">
        <w:rPr>
          <w:szCs w:val="24"/>
        </w:rPr>
        <w:t xml:space="preserve">I denne sammenheng er det viktig å </w:t>
      </w:r>
      <w:r w:rsidR="001B0FA4" w:rsidRPr="00885A40">
        <w:rPr>
          <w:szCs w:val="24"/>
        </w:rPr>
        <w:t>presisere at svært mye av den informasjon mediene samler inn i research-fasen ikke blir</w:t>
      </w:r>
      <w:r w:rsidR="00C50E69" w:rsidRPr="00885A40">
        <w:rPr>
          <w:szCs w:val="24"/>
        </w:rPr>
        <w:t xml:space="preserve"> publisert - og heller ikke er tenkt brukt til </w:t>
      </w:r>
      <w:r w:rsidR="001B0FA4" w:rsidRPr="00885A40">
        <w:rPr>
          <w:szCs w:val="24"/>
        </w:rPr>
        <w:t>publisering. Informasjonen innhentes</w:t>
      </w:r>
      <w:r w:rsidR="00C50E69" w:rsidRPr="00885A40">
        <w:rPr>
          <w:szCs w:val="24"/>
        </w:rPr>
        <w:t xml:space="preserve"> blant annet </w:t>
      </w:r>
      <w:r w:rsidR="001B0FA4" w:rsidRPr="00885A40">
        <w:rPr>
          <w:szCs w:val="24"/>
        </w:rPr>
        <w:t>for å undersøke om det er grunn til å foreta ytterligere undersøkelser, om det e</w:t>
      </w:r>
      <w:r w:rsidR="00885A40" w:rsidRPr="00885A40">
        <w:rPr>
          <w:szCs w:val="24"/>
        </w:rPr>
        <w:t>r hold i tips som har kommet, fo</w:t>
      </w:r>
      <w:r w:rsidR="001B0FA4" w:rsidRPr="00885A40">
        <w:rPr>
          <w:szCs w:val="24"/>
        </w:rPr>
        <w:t xml:space="preserve">r å få mer bakgrunnsinformasjon, for å verifisere informasjon, osv. </w:t>
      </w:r>
      <w:r w:rsidR="00865335" w:rsidRPr="00885A40">
        <w:rPr>
          <w:szCs w:val="24"/>
        </w:rPr>
        <w:t xml:space="preserve">Det blir derfor </w:t>
      </w:r>
      <w:r w:rsidR="00885A40">
        <w:rPr>
          <w:szCs w:val="24"/>
        </w:rPr>
        <w:t xml:space="preserve">helt </w:t>
      </w:r>
      <w:r w:rsidR="00865335" w:rsidRPr="00885A40">
        <w:rPr>
          <w:szCs w:val="24"/>
        </w:rPr>
        <w:t xml:space="preserve">feil når det i utkastet nederst på side 9 står at </w:t>
      </w:r>
      <w:r w:rsidR="0085731B">
        <w:rPr>
          <w:i/>
          <w:szCs w:val="24"/>
        </w:rPr>
        <w:t>«</w:t>
      </w:r>
      <w:r w:rsidR="00865335" w:rsidRPr="00885A40">
        <w:rPr>
          <w:i/>
          <w:szCs w:val="24"/>
        </w:rPr>
        <w:t xml:space="preserve">Det </w:t>
      </w:r>
      <w:r w:rsidR="00865335" w:rsidRPr="00885A40">
        <w:rPr>
          <w:i/>
          <w:szCs w:val="24"/>
          <w:u w:val="single"/>
        </w:rPr>
        <w:t xml:space="preserve">må </w:t>
      </w:r>
      <w:r w:rsidR="00865335" w:rsidRPr="00885A40">
        <w:rPr>
          <w:i/>
          <w:szCs w:val="24"/>
        </w:rPr>
        <w:t>derfor tas i betraktning at materiale som gis til pressen kan bli publisert i den for</w:t>
      </w:r>
      <w:r w:rsidR="00C50E69" w:rsidRPr="00885A40">
        <w:rPr>
          <w:i/>
          <w:szCs w:val="24"/>
        </w:rPr>
        <w:t>m</w:t>
      </w:r>
      <w:r w:rsidR="0085731B">
        <w:rPr>
          <w:i/>
          <w:szCs w:val="24"/>
        </w:rPr>
        <w:t xml:space="preserve"> materialet utgis.»</w:t>
      </w:r>
    </w:p>
    <w:p w:rsidR="00865335" w:rsidRPr="0085731B" w:rsidRDefault="00865335" w:rsidP="000C351E">
      <w:pPr>
        <w:rPr>
          <w:szCs w:val="24"/>
        </w:rPr>
      </w:pPr>
    </w:p>
    <w:p w:rsidR="003D5393" w:rsidRPr="002F5FEE" w:rsidRDefault="00865335" w:rsidP="003D5393">
      <w:pPr>
        <w:rPr>
          <w:szCs w:val="24"/>
        </w:rPr>
      </w:pPr>
      <w:r w:rsidRPr="002F5FEE">
        <w:rPr>
          <w:szCs w:val="24"/>
        </w:rPr>
        <w:t>I tillegg til at hensikten med innhentingen av informasjonen ofte ikke vil være p</w:t>
      </w:r>
      <w:r w:rsidR="002F5FEE" w:rsidRPr="002F5FEE">
        <w:rPr>
          <w:szCs w:val="24"/>
        </w:rPr>
        <w:t>ublisering, er mediene bundet</w:t>
      </w:r>
      <w:r w:rsidRPr="002F5FEE">
        <w:rPr>
          <w:szCs w:val="24"/>
        </w:rPr>
        <w:t xml:space="preserve"> ikke bare </w:t>
      </w:r>
      <w:r w:rsidR="002F5FEE" w:rsidRPr="002F5FEE">
        <w:rPr>
          <w:szCs w:val="24"/>
        </w:rPr>
        <w:t xml:space="preserve">av </w:t>
      </w:r>
      <w:r w:rsidRPr="002F5FEE">
        <w:rPr>
          <w:szCs w:val="24"/>
        </w:rPr>
        <w:t>V</w:t>
      </w:r>
      <w:r w:rsidR="00394002" w:rsidRPr="002F5FEE">
        <w:rPr>
          <w:szCs w:val="24"/>
        </w:rPr>
        <w:t>ær Varsom-plakaten</w:t>
      </w:r>
      <w:r w:rsidRPr="002F5FEE">
        <w:rPr>
          <w:szCs w:val="24"/>
        </w:rPr>
        <w:t>, men også</w:t>
      </w:r>
      <w:r w:rsidR="002F5FEE" w:rsidRPr="002F5FEE">
        <w:rPr>
          <w:szCs w:val="24"/>
        </w:rPr>
        <w:t xml:space="preserve"> av</w:t>
      </w:r>
      <w:r w:rsidRPr="002F5FEE">
        <w:rPr>
          <w:szCs w:val="24"/>
        </w:rPr>
        <w:t xml:space="preserve"> lovbestemmelser om vern av privatlivets fred og ærekrenkelser. </w:t>
      </w:r>
      <w:r w:rsidR="00A77DB2" w:rsidRPr="002F5FEE">
        <w:rPr>
          <w:szCs w:val="24"/>
        </w:rPr>
        <w:t xml:space="preserve">At myndighetene ikke skal legge vekt på </w:t>
      </w:r>
      <w:r w:rsidR="00394002" w:rsidRPr="002F5FEE">
        <w:rPr>
          <w:szCs w:val="24"/>
        </w:rPr>
        <w:t>hvorvidt opplysninger kan bli publisert</w:t>
      </w:r>
      <w:r w:rsidR="00A77DB2" w:rsidRPr="002F5FEE">
        <w:rPr>
          <w:szCs w:val="24"/>
        </w:rPr>
        <w:t xml:space="preserve"> når det tas stilling til om innsyn skal gis</w:t>
      </w:r>
      <w:r w:rsidR="00C50E69" w:rsidRPr="002F5FEE">
        <w:rPr>
          <w:szCs w:val="24"/>
        </w:rPr>
        <w:t>,</w:t>
      </w:r>
      <w:r w:rsidR="00A77DB2" w:rsidRPr="002F5FEE">
        <w:rPr>
          <w:szCs w:val="24"/>
        </w:rPr>
        <w:t xml:space="preserve"> følger også av rettspraksis.</w:t>
      </w:r>
      <w:r w:rsidR="003D5393" w:rsidRPr="002F5FEE">
        <w:rPr>
          <w:szCs w:val="24"/>
        </w:rPr>
        <w:t xml:space="preserve"> Det kan blant annet vises til Agder lagmannsretts avgjørelser av 29. januar 2016 i saknr. 16-012372 o</w:t>
      </w:r>
      <w:r w:rsidR="00912707">
        <w:rPr>
          <w:szCs w:val="24"/>
        </w:rPr>
        <w:t>g 23. februar 2016 i saknr. 16-</w:t>
      </w:r>
      <w:r w:rsidR="003D5393" w:rsidRPr="002F5FEE">
        <w:rPr>
          <w:szCs w:val="24"/>
        </w:rPr>
        <w:t>030323</w:t>
      </w:r>
      <w:r w:rsidR="0085731B">
        <w:rPr>
          <w:szCs w:val="24"/>
        </w:rPr>
        <w:t>,</w:t>
      </w:r>
      <w:r w:rsidR="003D5393" w:rsidRPr="002F5FEE">
        <w:rPr>
          <w:szCs w:val="24"/>
        </w:rPr>
        <w:t xml:space="preserve"> med henvisning til Rt. 2002 s. 151 knyttet til krav om anonymisering av rettsavgjørelser. I den siste lagmannsrettsavgjørelsen uttales det på side 4 at:</w:t>
      </w:r>
    </w:p>
    <w:p w:rsidR="002E491C" w:rsidRPr="00A10A48" w:rsidRDefault="002E491C" w:rsidP="003D5393">
      <w:pPr>
        <w:rPr>
          <w:szCs w:val="24"/>
        </w:rPr>
      </w:pPr>
    </w:p>
    <w:p w:rsidR="003D5393" w:rsidRPr="00A10A48" w:rsidRDefault="0085731B" w:rsidP="003D5393">
      <w:pPr>
        <w:ind w:left="708"/>
        <w:rPr>
          <w:szCs w:val="24"/>
        </w:rPr>
      </w:pPr>
      <w:r>
        <w:rPr>
          <w:i/>
          <w:szCs w:val="24"/>
        </w:rPr>
        <w:t>«</w:t>
      </w:r>
      <w:r w:rsidR="003D5393" w:rsidRPr="00A10A48">
        <w:rPr>
          <w:i/>
          <w:szCs w:val="24"/>
        </w:rPr>
        <w:t xml:space="preserve">Lagmannsretten vil understreke – også som i </w:t>
      </w:r>
      <w:proofErr w:type="spellStart"/>
      <w:r w:rsidR="003D5393" w:rsidRPr="00A10A48">
        <w:rPr>
          <w:i/>
          <w:szCs w:val="24"/>
        </w:rPr>
        <w:t>si</w:t>
      </w:r>
      <w:proofErr w:type="spellEnd"/>
      <w:r w:rsidR="003D5393" w:rsidRPr="00A10A48">
        <w:rPr>
          <w:i/>
          <w:szCs w:val="24"/>
        </w:rPr>
        <w:t xml:space="preserve"> </w:t>
      </w:r>
      <w:proofErr w:type="spellStart"/>
      <w:r w:rsidR="003D5393" w:rsidRPr="00A10A48">
        <w:rPr>
          <w:i/>
          <w:szCs w:val="24"/>
        </w:rPr>
        <w:t>tidlegare</w:t>
      </w:r>
      <w:proofErr w:type="spellEnd"/>
      <w:r w:rsidR="003D5393" w:rsidRPr="00A10A48">
        <w:rPr>
          <w:i/>
          <w:szCs w:val="24"/>
        </w:rPr>
        <w:t xml:space="preserve"> avgjer</w:t>
      </w:r>
      <w:r w:rsidR="00912707" w:rsidRPr="00A10A48">
        <w:rPr>
          <w:i/>
          <w:szCs w:val="24"/>
        </w:rPr>
        <w:t>d</w:t>
      </w:r>
      <w:r w:rsidR="00052C37" w:rsidRPr="00A10A48">
        <w:rPr>
          <w:i/>
          <w:szCs w:val="24"/>
        </w:rPr>
        <w:t xml:space="preserve"> i same sak med tilvising til </w:t>
      </w:r>
      <w:r w:rsidR="00A10A48" w:rsidRPr="00A10A48">
        <w:rPr>
          <w:i/>
          <w:szCs w:val="24"/>
        </w:rPr>
        <w:t xml:space="preserve">(..) </w:t>
      </w:r>
      <w:proofErr w:type="spellStart"/>
      <w:r w:rsidR="003D5393" w:rsidRPr="00A10A48">
        <w:rPr>
          <w:i/>
          <w:szCs w:val="24"/>
        </w:rPr>
        <w:t>Rt</w:t>
      </w:r>
      <w:proofErr w:type="spellEnd"/>
      <w:r w:rsidR="003D5393" w:rsidRPr="00A10A48">
        <w:rPr>
          <w:i/>
          <w:szCs w:val="24"/>
        </w:rPr>
        <w:t>. 2002 s. 151 – at media har et sjølvstendig ansvar for å vurdere behovet for offentliggjering av identifiserande opplysningar. Jamvel om det ikkje er lagt restriksjonar på den offentlege attgjevinga av domen, inneber ikkje det at alle opplysningar i domen bør offentleggjerast. Men dette er opp til media å</w:t>
      </w:r>
      <w:r>
        <w:rPr>
          <w:i/>
          <w:szCs w:val="24"/>
        </w:rPr>
        <w:t xml:space="preserve"> </w:t>
      </w:r>
      <w:proofErr w:type="spellStart"/>
      <w:r>
        <w:rPr>
          <w:i/>
          <w:szCs w:val="24"/>
        </w:rPr>
        <w:t>avgjera</w:t>
      </w:r>
      <w:proofErr w:type="spellEnd"/>
      <w:r>
        <w:rPr>
          <w:i/>
          <w:szCs w:val="24"/>
        </w:rPr>
        <w:t xml:space="preserve">, </w:t>
      </w:r>
      <w:proofErr w:type="spellStart"/>
      <w:r>
        <w:rPr>
          <w:i/>
          <w:szCs w:val="24"/>
        </w:rPr>
        <w:t>ikkje</w:t>
      </w:r>
      <w:proofErr w:type="spellEnd"/>
      <w:r>
        <w:rPr>
          <w:i/>
          <w:szCs w:val="24"/>
        </w:rPr>
        <w:t xml:space="preserve"> til </w:t>
      </w:r>
      <w:proofErr w:type="spellStart"/>
      <w:r>
        <w:rPr>
          <w:i/>
          <w:szCs w:val="24"/>
        </w:rPr>
        <w:t>domstolane</w:t>
      </w:r>
      <w:proofErr w:type="spellEnd"/>
      <w:r>
        <w:rPr>
          <w:i/>
          <w:szCs w:val="24"/>
        </w:rPr>
        <w:t>.»</w:t>
      </w:r>
    </w:p>
    <w:p w:rsidR="003D5393" w:rsidRPr="00A10A48" w:rsidRDefault="003D5393" w:rsidP="003D5393">
      <w:pPr>
        <w:rPr>
          <w:szCs w:val="24"/>
        </w:rPr>
      </w:pPr>
    </w:p>
    <w:p w:rsidR="000E70B4" w:rsidRDefault="00A77DB2" w:rsidP="003D5393">
      <w:pPr>
        <w:rPr>
          <w:szCs w:val="24"/>
        </w:rPr>
      </w:pPr>
      <w:r w:rsidRPr="00A10A48">
        <w:rPr>
          <w:szCs w:val="24"/>
        </w:rPr>
        <w:t xml:space="preserve">Tilsvarende er lagt til grunn i Den </w:t>
      </w:r>
      <w:r w:rsidR="0085731B">
        <w:rPr>
          <w:szCs w:val="24"/>
        </w:rPr>
        <w:t>norske dommerforenings håndbok «</w:t>
      </w:r>
      <w:r w:rsidRPr="00A10A48">
        <w:rPr>
          <w:szCs w:val="24"/>
        </w:rPr>
        <w:t>Dommerne og mediene</w:t>
      </w:r>
      <w:r w:rsidR="0085731B">
        <w:rPr>
          <w:szCs w:val="24"/>
        </w:rPr>
        <w:t>»</w:t>
      </w:r>
      <w:r w:rsidRPr="00A10A48">
        <w:rPr>
          <w:szCs w:val="24"/>
        </w:rPr>
        <w:t xml:space="preserve"> </w:t>
      </w:r>
      <w:r w:rsidR="00BC155E" w:rsidRPr="00A10A48">
        <w:rPr>
          <w:szCs w:val="24"/>
        </w:rPr>
        <w:t>(</w:t>
      </w:r>
      <w:r w:rsidRPr="00A10A48">
        <w:rPr>
          <w:szCs w:val="24"/>
        </w:rPr>
        <w:t>2012</w:t>
      </w:r>
      <w:r w:rsidR="00BC155E" w:rsidRPr="00A10A48">
        <w:rPr>
          <w:szCs w:val="24"/>
        </w:rPr>
        <w:t>)</w:t>
      </w:r>
      <w:r w:rsidRPr="00A10A48">
        <w:rPr>
          <w:szCs w:val="24"/>
        </w:rPr>
        <w:t xml:space="preserve"> side 14 der det står: </w:t>
      </w:r>
    </w:p>
    <w:p w:rsidR="000E70B4" w:rsidRDefault="000E70B4" w:rsidP="003D5393">
      <w:pPr>
        <w:rPr>
          <w:szCs w:val="24"/>
        </w:rPr>
      </w:pPr>
    </w:p>
    <w:p w:rsidR="003D5393" w:rsidRPr="00A10A48" w:rsidRDefault="0085731B" w:rsidP="00843E59">
      <w:pPr>
        <w:ind w:left="708"/>
        <w:rPr>
          <w:i/>
          <w:szCs w:val="24"/>
        </w:rPr>
      </w:pPr>
      <w:r>
        <w:rPr>
          <w:i/>
          <w:szCs w:val="24"/>
        </w:rPr>
        <w:t>«</w:t>
      </w:r>
      <w:r w:rsidR="00A77DB2" w:rsidRPr="00A10A48">
        <w:rPr>
          <w:i/>
          <w:szCs w:val="24"/>
        </w:rPr>
        <w:t>Det er utvalgets oppfatning at dette er forhold som</w:t>
      </w:r>
      <w:r w:rsidR="00A77DB2" w:rsidRPr="002F5FEE">
        <w:rPr>
          <w:i/>
          <w:color w:val="FF0000"/>
          <w:szCs w:val="24"/>
        </w:rPr>
        <w:t xml:space="preserve"> </w:t>
      </w:r>
      <w:r w:rsidR="00A77DB2" w:rsidRPr="00A10A48">
        <w:rPr>
          <w:i/>
          <w:szCs w:val="24"/>
        </w:rPr>
        <w:t>først og fremst må håndteres av mediene, og at domstolene i håndhev</w:t>
      </w:r>
      <w:r w:rsidR="003D5393" w:rsidRPr="00A10A48">
        <w:rPr>
          <w:i/>
          <w:szCs w:val="24"/>
        </w:rPr>
        <w:t xml:space="preserve">elsen </w:t>
      </w:r>
      <w:r w:rsidR="00A77DB2" w:rsidRPr="00A10A48">
        <w:rPr>
          <w:i/>
          <w:szCs w:val="24"/>
        </w:rPr>
        <w:t>av reglene om offentlig</w:t>
      </w:r>
      <w:r w:rsidR="003D5393" w:rsidRPr="00A10A48">
        <w:rPr>
          <w:i/>
          <w:szCs w:val="24"/>
        </w:rPr>
        <w:t>het</w:t>
      </w:r>
      <w:r w:rsidR="00A77DB2" w:rsidRPr="00A10A48">
        <w:rPr>
          <w:i/>
          <w:szCs w:val="24"/>
        </w:rPr>
        <w:t xml:space="preserve"> kun i begrens</w:t>
      </w:r>
      <w:r w:rsidR="003D5393" w:rsidRPr="00A10A48">
        <w:rPr>
          <w:i/>
          <w:szCs w:val="24"/>
        </w:rPr>
        <w:t>et</w:t>
      </w:r>
      <w:r w:rsidR="00A77DB2" w:rsidRPr="00A10A48">
        <w:rPr>
          <w:i/>
          <w:szCs w:val="24"/>
        </w:rPr>
        <w:t xml:space="preserve"> utstrekning kan ta hensyn til </w:t>
      </w:r>
      <w:r>
        <w:rPr>
          <w:i/>
          <w:szCs w:val="24"/>
        </w:rPr>
        <w:t>hvordan informasjonen benyttes.»</w:t>
      </w:r>
    </w:p>
    <w:p w:rsidR="003E66F1" w:rsidRPr="002F5FEE" w:rsidRDefault="003E66F1" w:rsidP="00561881">
      <w:pPr>
        <w:rPr>
          <w:szCs w:val="24"/>
        </w:rPr>
      </w:pPr>
    </w:p>
    <w:p w:rsidR="000313EF" w:rsidRPr="002F5FEE" w:rsidRDefault="000313EF" w:rsidP="00561881">
      <w:pPr>
        <w:rPr>
          <w:szCs w:val="24"/>
        </w:rPr>
      </w:pPr>
    </w:p>
    <w:p w:rsidR="000313EF" w:rsidRPr="002F5FEE" w:rsidRDefault="00477557" w:rsidP="00477557">
      <w:pPr>
        <w:pStyle w:val="Listeavsnitt"/>
        <w:ind w:left="0"/>
        <w:rPr>
          <w:rFonts w:ascii="Times New Roman" w:hAnsi="Times New Roman"/>
          <w:b/>
          <w:sz w:val="24"/>
          <w:szCs w:val="24"/>
        </w:rPr>
      </w:pPr>
      <w:r>
        <w:rPr>
          <w:rFonts w:ascii="Times New Roman" w:hAnsi="Times New Roman"/>
          <w:b/>
          <w:sz w:val="24"/>
          <w:szCs w:val="24"/>
        </w:rPr>
        <w:t xml:space="preserve">5. </w:t>
      </w:r>
      <w:r w:rsidR="000313EF" w:rsidRPr="002F5FEE">
        <w:rPr>
          <w:rFonts w:ascii="Times New Roman" w:hAnsi="Times New Roman"/>
          <w:b/>
          <w:sz w:val="24"/>
          <w:szCs w:val="24"/>
        </w:rPr>
        <w:t xml:space="preserve">Dokumenter som det normalt gis innsyn i </w:t>
      </w:r>
      <w:r w:rsidR="009D6B61" w:rsidRPr="002F5FEE">
        <w:rPr>
          <w:rFonts w:ascii="Times New Roman" w:hAnsi="Times New Roman"/>
          <w:b/>
          <w:sz w:val="24"/>
          <w:szCs w:val="24"/>
        </w:rPr>
        <w:t>(punkt 6.1)</w:t>
      </w:r>
    </w:p>
    <w:p w:rsidR="002B6107" w:rsidRPr="00477557" w:rsidRDefault="00715219" w:rsidP="000313EF">
      <w:pPr>
        <w:rPr>
          <w:szCs w:val="24"/>
        </w:rPr>
      </w:pPr>
      <w:r w:rsidRPr="00477557">
        <w:rPr>
          <w:szCs w:val="24"/>
        </w:rPr>
        <w:t xml:space="preserve">Når det gjelder </w:t>
      </w:r>
      <w:r w:rsidRPr="00843E59">
        <w:rPr>
          <w:b/>
          <w:szCs w:val="24"/>
        </w:rPr>
        <w:t>dommer som er eldre enn 5 år</w:t>
      </w:r>
      <w:r w:rsidRPr="00843E59">
        <w:rPr>
          <w:szCs w:val="24"/>
        </w:rPr>
        <w:t>,</w:t>
      </w:r>
      <w:r w:rsidRPr="00477557">
        <w:rPr>
          <w:szCs w:val="24"/>
        </w:rPr>
        <w:t xml:space="preserve"> må utgangspunktet være at medi</w:t>
      </w:r>
      <w:r w:rsidR="00477557" w:rsidRPr="00477557">
        <w:rPr>
          <w:szCs w:val="24"/>
        </w:rPr>
        <w:t>ene</w:t>
      </w:r>
      <w:r w:rsidR="0048371D" w:rsidRPr="00477557">
        <w:rPr>
          <w:szCs w:val="24"/>
        </w:rPr>
        <w:t xml:space="preserve"> </w:t>
      </w:r>
      <w:r w:rsidRPr="00477557">
        <w:rPr>
          <w:szCs w:val="24"/>
        </w:rPr>
        <w:t>gis innsyn dersom de ber om det.</w:t>
      </w:r>
      <w:r w:rsidR="002B6107" w:rsidRPr="00477557">
        <w:rPr>
          <w:szCs w:val="24"/>
        </w:rPr>
        <w:t xml:space="preserve"> Noe annet vil </w:t>
      </w:r>
      <w:r w:rsidR="004214C4" w:rsidRPr="00477557">
        <w:rPr>
          <w:szCs w:val="24"/>
        </w:rPr>
        <w:t xml:space="preserve">ikke være forenlig med </w:t>
      </w:r>
      <w:r w:rsidR="002B6107" w:rsidRPr="00477557">
        <w:rPr>
          <w:szCs w:val="24"/>
        </w:rPr>
        <w:t xml:space="preserve">EMK artikkel 10. </w:t>
      </w:r>
      <w:r w:rsidR="00477557" w:rsidRPr="00477557">
        <w:rPr>
          <w:szCs w:val="24"/>
        </w:rPr>
        <w:t>Mediene</w:t>
      </w:r>
      <w:r w:rsidRPr="00477557">
        <w:rPr>
          <w:szCs w:val="24"/>
        </w:rPr>
        <w:t xml:space="preserve"> har i utgangspunktet aktverd</w:t>
      </w:r>
      <w:r w:rsidR="00477557" w:rsidRPr="00477557">
        <w:rPr>
          <w:szCs w:val="24"/>
        </w:rPr>
        <w:t>ige grunner dersom de ber om innsyn</w:t>
      </w:r>
      <w:r w:rsidR="00AF4E42" w:rsidRPr="00477557">
        <w:rPr>
          <w:szCs w:val="24"/>
        </w:rPr>
        <w:t xml:space="preserve"> – enten det er som del av kontrollfunksjonen eller for å gi allmennheten informasjon av offentlig interesse. Det bør ikke være nødvendig å redegjøre nærmere for hvorfor det bes om innsyn</w:t>
      </w:r>
      <w:r w:rsidR="00477557" w:rsidRPr="00477557">
        <w:rPr>
          <w:szCs w:val="24"/>
        </w:rPr>
        <w:t>.</w:t>
      </w:r>
      <w:r w:rsidR="00AF4E42" w:rsidRPr="00477557">
        <w:rPr>
          <w:szCs w:val="24"/>
        </w:rPr>
        <w:t xml:space="preserve"> </w:t>
      </w:r>
      <w:r w:rsidR="00477557" w:rsidRPr="00477557">
        <w:rPr>
          <w:szCs w:val="24"/>
        </w:rPr>
        <w:t>Vi ber</w:t>
      </w:r>
      <w:r w:rsidR="00AF4E42" w:rsidRPr="00477557">
        <w:rPr>
          <w:szCs w:val="24"/>
        </w:rPr>
        <w:t xml:space="preserve"> derfor om at </w:t>
      </w:r>
      <w:r w:rsidR="0085731B">
        <w:rPr>
          <w:szCs w:val="24"/>
        </w:rPr>
        <w:t>kravet om at det skal «</w:t>
      </w:r>
      <w:r w:rsidR="002B6107" w:rsidRPr="00477557">
        <w:rPr>
          <w:szCs w:val="24"/>
        </w:rPr>
        <w:t>gis gode grunner for det</w:t>
      </w:r>
      <w:r w:rsidR="0085731B">
        <w:rPr>
          <w:szCs w:val="24"/>
        </w:rPr>
        <w:t>»</w:t>
      </w:r>
      <w:r w:rsidR="002B6107" w:rsidRPr="00477557">
        <w:rPr>
          <w:szCs w:val="24"/>
        </w:rPr>
        <w:t xml:space="preserve"> i første avsnit</w:t>
      </w:r>
      <w:r w:rsidR="00477557" w:rsidRPr="00477557">
        <w:rPr>
          <w:szCs w:val="24"/>
        </w:rPr>
        <w:t>t siste setning under punkt 6.1</w:t>
      </w:r>
      <w:r w:rsidR="003B54F7" w:rsidRPr="00477557">
        <w:rPr>
          <w:szCs w:val="24"/>
        </w:rPr>
        <w:t xml:space="preserve"> speilvendes, slik at det må «gis gode grunner» for å nekte innsyn i de tilfeller hvo</w:t>
      </w:r>
      <w:r w:rsidR="00715E67">
        <w:rPr>
          <w:szCs w:val="24"/>
        </w:rPr>
        <w:t>r innsynskravet kommer fra mediene</w:t>
      </w:r>
      <w:r w:rsidR="003B54F7" w:rsidRPr="00477557">
        <w:rPr>
          <w:szCs w:val="24"/>
        </w:rPr>
        <w:t>. Subsidiært bør i det minste kravet om «gode grunner» for å gi innsyn strykes.</w:t>
      </w:r>
    </w:p>
    <w:p w:rsidR="002B6107" w:rsidRPr="0085731B" w:rsidRDefault="002B6107" w:rsidP="000313EF">
      <w:pPr>
        <w:rPr>
          <w:szCs w:val="24"/>
        </w:rPr>
      </w:pPr>
    </w:p>
    <w:p w:rsidR="003B54F7" w:rsidRPr="00051A9E" w:rsidRDefault="003B54F7" w:rsidP="000313EF">
      <w:pPr>
        <w:rPr>
          <w:szCs w:val="24"/>
        </w:rPr>
      </w:pPr>
      <w:r w:rsidRPr="00051A9E">
        <w:rPr>
          <w:szCs w:val="24"/>
        </w:rPr>
        <w:t xml:space="preserve">Når det gjelder spørsmålet om </w:t>
      </w:r>
      <w:r w:rsidRPr="00843E59">
        <w:rPr>
          <w:b/>
          <w:szCs w:val="24"/>
        </w:rPr>
        <w:t>kopi eller «utskrift»</w:t>
      </w:r>
      <w:r w:rsidRPr="00843E59">
        <w:rPr>
          <w:szCs w:val="24"/>
        </w:rPr>
        <w:t>,</w:t>
      </w:r>
      <w:r w:rsidRPr="00051A9E">
        <w:rPr>
          <w:szCs w:val="24"/>
        </w:rPr>
        <w:t xml:space="preserve"> som det heter i straffeprosessloven så virker dette i vår tid og med dagens teknologi noe gammelmodig, men det bør for ordens skyld også her presiseres at </w:t>
      </w:r>
      <w:r w:rsidR="00A1324F" w:rsidRPr="00051A9E">
        <w:rPr>
          <w:szCs w:val="24"/>
        </w:rPr>
        <w:t>det skal meget sterke grunner til for ikke å gi utskrift av dommer som det likevel gis innsyn i.</w:t>
      </w:r>
    </w:p>
    <w:p w:rsidR="003B54F7" w:rsidRPr="0085731B" w:rsidRDefault="003B54F7" w:rsidP="000313EF">
      <w:pPr>
        <w:rPr>
          <w:szCs w:val="24"/>
        </w:rPr>
      </w:pPr>
    </w:p>
    <w:p w:rsidR="00954A1C" w:rsidRPr="00FE6F17" w:rsidRDefault="00FE6F17" w:rsidP="000313EF">
      <w:pPr>
        <w:rPr>
          <w:szCs w:val="24"/>
        </w:rPr>
      </w:pPr>
      <w:r w:rsidRPr="00FE6F17">
        <w:rPr>
          <w:szCs w:val="24"/>
        </w:rPr>
        <w:t>Videre er det slik at medier</w:t>
      </w:r>
      <w:r w:rsidR="00510586" w:rsidRPr="00FE6F17">
        <w:rPr>
          <w:szCs w:val="24"/>
        </w:rPr>
        <w:t xml:space="preserve"> har rett til innsyn også i </w:t>
      </w:r>
      <w:r w:rsidR="00510586" w:rsidRPr="00843E59">
        <w:rPr>
          <w:b/>
          <w:szCs w:val="24"/>
        </w:rPr>
        <w:t xml:space="preserve">dommer </w:t>
      </w:r>
      <w:r w:rsidR="00E03CFA" w:rsidRPr="00843E59">
        <w:rPr>
          <w:b/>
          <w:szCs w:val="24"/>
        </w:rPr>
        <w:t>(</w:t>
      </w:r>
      <w:r w:rsidR="00510586" w:rsidRPr="00843E59">
        <w:rPr>
          <w:b/>
          <w:szCs w:val="24"/>
        </w:rPr>
        <w:t xml:space="preserve">og </w:t>
      </w:r>
      <w:r w:rsidR="00E03CFA" w:rsidRPr="00843E59">
        <w:rPr>
          <w:b/>
          <w:szCs w:val="24"/>
        </w:rPr>
        <w:t xml:space="preserve">visse </w:t>
      </w:r>
      <w:r w:rsidR="00510586" w:rsidRPr="00843E59">
        <w:rPr>
          <w:b/>
          <w:szCs w:val="24"/>
        </w:rPr>
        <w:t>kjennelser</w:t>
      </w:r>
      <w:r w:rsidR="00E03CFA" w:rsidRPr="00843E59">
        <w:rPr>
          <w:b/>
          <w:szCs w:val="24"/>
        </w:rPr>
        <w:t>)</w:t>
      </w:r>
      <w:r w:rsidR="0085731B" w:rsidRPr="00843E59">
        <w:rPr>
          <w:b/>
          <w:szCs w:val="24"/>
        </w:rPr>
        <w:t>,</w:t>
      </w:r>
      <w:r w:rsidR="0048371D" w:rsidRPr="00843E59">
        <w:rPr>
          <w:b/>
          <w:szCs w:val="24"/>
        </w:rPr>
        <w:t xml:space="preserve"> selv om </w:t>
      </w:r>
      <w:r w:rsidR="00510586" w:rsidRPr="00843E59">
        <w:rPr>
          <w:b/>
          <w:szCs w:val="24"/>
        </w:rPr>
        <w:t>det er satt forbud mot offentlig gjengivelse</w:t>
      </w:r>
      <w:r w:rsidR="00510586" w:rsidRPr="00FE6F17">
        <w:rPr>
          <w:szCs w:val="24"/>
        </w:rPr>
        <w:t xml:space="preserve">. Dette følger av forskrift om offentlighet i rettspleien § 10 og merknadene til bestemmelsen der det står: </w:t>
      </w:r>
      <w:r w:rsidR="0085731B">
        <w:rPr>
          <w:i/>
          <w:szCs w:val="24"/>
        </w:rPr>
        <w:t>«</w:t>
      </w:r>
      <w:r w:rsidR="00E03CFA" w:rsidRPr="00FE6F17">
        <w:rPr>
          <w:i/>
          <w:szCs w:val="24"/>
        </w:rPr>
        <w:t>Domstolene skal legge r</w:t>
      </w:r>
      <w:r w:rsidR="00510586" w:rsidRPr="00FE6F17">
        <w:rPr>
          <w:i/>
          <w:szCs w:val="24"/>
        </w:rPr>
        <w:t xml:space="preserve">ettsavgjørelsene </w:t>
      </w:r>
      <w:r w:rsidR="00E03CFA" w:rsidRPr="00FE6F17">
        <w:rPr>
          <w:i/>
          <w:szCs w:val="24"/>
        </w:rPr>
        <w:t>i pressemappen selv om det foreligger helt eller delvis forbud mot offentlig gjengivelse.</w:t>
      </w:r>
      <w:r w:rsidR="0085731B">
        <w:rPr>
          <w:i/>
          <w:szCs w:val="24"/>
        </w:rPr>
        <w:t>»</w:t>
      </w:r>
      <w:r w:rsidR="00E03CFA" w:rsidRPr="00FE6F17">
        <w:rPr>
          <w:szCs w:val="24"/>
        </w:rPr>
        <w:t xml:space="preserve"> I forslag til ny domstolslov er det foreslått at dette skal videreføres og utvides slik at det blir en plikt til å legge ut rettsavgjørelsene på lukkede nettsider for pressen og at plikten også skal omfatte varetektsfengslinger. Dette er i samsvar med praksis i dag</w:t>
      </w:r>
      <w:r w:rsidR="0048371D" w:rsidRPr="00FE6F17">
        <w:rPr>
          <w:szCs w:val="24"/>
        </w:rPr>
        <w:t xml:space="preserve">, og det </w:t>
      </w:r>
      <w:r w:rsidR="00E03CFA" w:rsidRPr="00FE6F17">
        <w:rPr>
          <w:szCs w:val="24"/>
        </w:rPr>
        <w:t>må komme tydelig frem i rundskrivet</w:t>
      </w:r>
      <w:r w:rsidR="005B60ED" w:rsidRPr="00FE6F17">
        <w:rPr>
          <w:szCs w:val="24"/>
        </w:rPr>
        <w:t xml:space="preserve">. </w:t>
      </w:r>
    </w:p>
    <w:p w:rsidR="00B34A9E" w:rsidRPr="0085731B" w:rsidRDefault="00B34A9E" w:rsidP="000313EF">
      <w:pPr>
        <w:rPr>
          <w:szCs w:val="24"/>
        </w:rPr>
      </w:pPr>
    </w:p>
    <w:p w:rsidR="000313EF" w:rsidRPr="00477557" w:rsidRDefault="00954A1C" w:rsidP="000313EF">
      <w:pPr>
        <w:rPr>
          <w:szCs w:val="24"/>
        </w:rPr>
      </w:pPr>
      <w:r w:rsidRPr="00477557">
        <w:rPr>
          <w:szCs w:val="24"/>
        </w:rPr>
        <w:t xml:space="preserve">Videre </w:t>
      </w:r>
      <w:r w:rsidR="009D6B61" w:rsidRPr="00477557">
        <w:rPr>
          <w:szCs w:val="24"/>
        </w:rPr>
        <w:t xml:space="preserve">trekkes frem </w:t>
      </w:r>
      <w:r w:rsidR="000313EF" w:rsidRPr="00477557">
        <w:rPr>
          <w:b/>
          <w:szCs w:val="24"/>
        </w:rPr>
        <w:t>forkynt tiltalebeslutning</w:t>
      </w:r>
      <w:r w:rsidR="004F7A2D" w:rsidRPr="004F7A2D">
        <w:rPr>
          <w:szCs w:val="24"/>
        </w:rPr>
        <w:t>, som mediene</w:t>
      </w:r>
      <w:r w:rsidR="004F7A2D">
        <w:rPr>
          <w:szCs w:val="24"/>
        </w:rPr>
        <w:t xml:space="preserve"> i utgangspunktet har krav på kopi av</w:t>
      </w:r>
      <w:r w:rsidR="000313EF" w:rsidRPr="004F7A2D">
        <w:rPr>
          <w:szCs w:val="24"/>
        </w:rPr>
        <w:t>.</w:t>
      </w:r>
      <w:r w:rsidR="000313EF" w:rsidRPr="00477557">
        <w:rPr>
          <w:szCs w:val="24"/>
        </w:rPr>
        <w:t xml:space="preserve"> Vilkåret </w:t>
      </w:r>
      <w:r w:rsidR="004F7A2D">
        <w:rPr>
          <w:szCs w:val="24"/>
        </w:rPr>
        <w:t xml:space="preserve">for å nekte innsyn </w:t>
      </w:r>
      <w:r w:rsidR="000313EF" w:rsidRPr="00477557">
        <w:rPr>
          <w:szCs w:val="24"/>
        </w:rPr>
        <w:t xml:space="preserve">er at det er sannsynlig at sakene ikke vil gå for lukkede dører, og det henvises til påtaleinstruksen § 22-7 første ledd. Det er også tidligere blitt omtalt </w:t>
      </w:r>
      <w:r w:rsidR="009D6B61" w:rsidRPr="00477557">
        <w:rPr>
          <w:szCs w:val="24"/>
        </w:rPr>
        <w:t xml:space="preserve">i tredje kulepunkt </w:t>
      </w:r>
      <w:r w:rsidR="000313EF" w:rsidRPr="00477557">
        <w:rPr>
          <w:szCs w:val="24"/>
        </w:rPr>
        <w:t xml:space="preserve">under punkt 3.1. </w:t>
      </w:r>
      <w:r w:rsidR="009D6B61" w:rsidRPr="00477557">
        <w:rPr>
          <w:szCs w:val="24"/>
        </w:rPr>
        <w:t>Vi mener at medien</w:t>
      </w:r>
      <w:r w:rsidR="00AB645C" w:rsidRPr="00477557">
        <w:rPr>
          <w:szCs w:val="24"/>
        </w:rPr>
        <w:t>e også bør få innsyn der saken g</w:t>
      </w:r>
      <w:r w:rsidR="009D6B61" w:rsidRPr="00477557">
        <w:rPr>
          <w:szCs w:val="24"/>
        </w:rPr>
        <w:t xml:space="preserve">år for lukkede dører, i hvert fall i anonymisert form. </w:t>
      </w:r>
    </w:p>
    <w:p w:rsidR="009D6B61" w:rsidRPr="00477557" w:rsidRDefault="009D6B61" w:rsidP="000313EF">
      <w:pPr>
        <w:rPr>
          <w:szCs w:val="24"/>
        </w:rPr>
      </w:pPr>
    </w:p>
    <w:p w:rsidR="008E0FAA" w:rsidRPr="00477557" w:rsidRDefault="00954A1C" w:rsidP="00561881">
      <w:pPr>
        <w:rPr>
          <w:szCs w:val="24"/>
        </w:rPr>
      </w:pPr>
      <w:r w:rsidRPr="00477557">
        <w:rPr>
          <w:szCs w:val="24"/>
        </w:rPr>
        <w:t>Riksadvokaten nev</w:t>
      </w:r>
      <w:r w:rsidR="008E0FAA" w:rsidRPr="00477557">
        <w:rPr>
          <w:szCs w:val="24"/>
        </w:rPr>
        <w:t>n</w:t>
      </w:r>
      <w:r w:rsidRPr="00477557">
        <w:rPr>
          <w:szCs w:val="24"/>
        </w:rPr>
        <w:t xml:space="preserve">er i denne sammenheng også kort </w:t>
      </w:r>
      <w:r w:rsidRPr="00477557">
        <w:rPr>
          <w:b/>
          <w:szCs w:val="24"/>
        </w:rPr>
        <w:t>siktelse i tilståelsessaker</w:t>
      </w:r>
      <w:r w:rsidRPr="00477557">
        <w:rPr>
          <w:szCs w:val="24"/>
        </w:rPr>
        <w:t>. Dette mener vi må være e</w:t>
      </w:r>
      <w:r w:rsidR="008E0FAA" w:rsidRPr="00477557">
        <w:rPr>
          <w:szCs w:val="24"/>
        </w:rPr>
        <w:t>t</w:t>
      </w:r>
      <w:r w:rsidRPr="00477557">
        <w:rPr>
          <w:szCs w:val="24"/>
        </w:rPr>
        <w:t xml:space="preserve"> selvfølge</w:t>
      </w:r>
      <w:r w:rsidR="008E0FAA" w:rsidRPr="00477557">
        <w:rPr>
          <w:szCs w:val="24"/>
        </w:rPr>
        <w:t>lig prinsipp</w:t>
      </w:r>
      <w:r w:rsidRPr="00477557">
        <w:rPr>
          <w:szCs w:val="24"/>
        </w:rPr>
        <w:t xml:space="preserve"> etter at </w:t>
      </w:r>
      <w:r w:rsidR="008E0FAA" w:rsidRPr="00477557">
        <w:rPr>
          <w:szCs w:val="24"/>
        </w:rPr>
        <w:t xml:space="preserve">det i </w:t>
      </w:r>
      <w:r w:rsidRPr="00477557">
        <w:rPr>
          <w:szCs w:val="24"/>
        </w:rPr>
        <w:t>forslag til ny domstollov foreslå</w:t>
      </w:r>
      <w:r w:rsidR="008E0FAA" w:rsidRPr="00477557">
        <w:rPr>
          <w:szCs w:val="24"/>
        </w:rPr>
        <w:t>s</w:t>
      </w:r>
      <w:r w:rsidR="006E559A" w:rsidRPr="00477557">
        <w:rPr>
          <w:szCs w:val="24"/>
        </w:rPr>
        <w:t xml:space="preserve"> at mediene skal få samme tilgang på slike siktelser som tiltalebeslutningene. </w:t>
      </w:r>
    </w:p>
    <w:p w:rsidR="008E0FAA" w:rsidRPr="00477557" w:rsidRDefault="008E0FAA" w:rsidP="00561881">
      <w:pPr>
        <w:rPr>
          <w:szCs w:val="24"/>
        </w:rPr>
      </w:pPr>
    </w:p>
    <w:p w:rsidR="000E70B4" w:rsidRDefault="003F1C19" w:rsidP="00561881">
      <w:pPr>
        <w:rPr>
          <w:szCs w:val="24"/>
        </w:rPr>
      </w:pPr>
      <w:r w:rsidRPr="00477557">
        <w:rPr>
          <w:szCs w:val="24"/>
        </w:rPr>
        <w:t xml:space="preserve">På bakgrunn av at Riksadvokaten tidligere har vært </w:t>
      </w:r>
      <w:r w:rsidR="0014694A" w:rsidRPr="00477557">
        <w:rPr>
          <w:szCs w:val="24"/>
        </w:rPr>
        <w:t xml:space="preserve">tydelig på at </w:t>
      </w:r>
      <w:r w:rsidR="0014694A" w:rsidRPr="00477557">
        <w:rPr>
          <w:b/>
          <w:szCs w:val="24"/>
        </w:rPr>
        <w:t>siktelser i sin alminnelighet</w:t>
      </w:r>
      <w:r w:rsidR="0014694A" w:rsidRPr="00477557">
        <w:rPr>
          <w:szCs w:val="24"/>
        </w:rPr>
        <w:t xml:space="preserve"> i visse tilfeller skal gis ut til mediene, er vi imidlertid </w:t>
      </w:r>
      <w:r w:rsidR="004F7A2D">
        <w:rPr>
          <w:szCs w:val="24"/>
        </w:rPr>
        <w:t>overrasket</w:t>
      </w:r>
      <w:r w:rsidR="00FE6F17">
        <w:rPr>
          <w:szCs w:val="24"/>
        </w:rPr>
        <w:t xml:space="preserve"> </w:t>
      </w:r>
      <w:r w:rsidR="008E0FAA" w:rsidRPr="00477557">
        <w:rPr>
          <w:szCs w:val="24"/>
        </w:rPr>
        <w:t xml:space="preserve">over den restriktive holdningen som signaliseres i foreliggende utkast. Under punkt 6.4, om verserende saker, legges det opp til at det skal vises tilbakeholdenhet med å gi ut kopi av siktelser, men at det «kan» opplyses hvilke lovbrudd siktelsen gjelder. </w:t>
      </w:r>
    </w:p>
    <w:p w:rsidR="000E70B4" w:rsidRDefault="000E70B4" w:rsidP="00561881">
      <w:pPr>
        <w:rPr>
          <w:szCs w:val="24"/>
        </w:rPr>
      </w:pPr>
    </w:p>
    <w:p w:rsidR="000E70B4" w:rsidRDefault="008E0FAA" w:rsidP="00561881">
      <w:pPr>
        <w:rPr>
          <w:szCs w:val="24"/>
        </w:rPr>
      </w:pPr>
      <w:r w:rsidRPr="00477557">
        <w:rPr>
          <w:i/>
          <w:szCs w:val="24"/>
        </w:rPr>
        <w:t>For det første</w:t>
      </w:r>
      <w:r w:rsidRPr="00477557">
        <w:rPr>
          <w:szCs w:val="24"/>
        </w:rPr>
        <w:t xml:space="preserve"> mener vi at utgangspunktet må omgjøres til en plikt, slik at det «skal» gis innsyn i hvilke lovbrudd siktelsen gjelder. </w:t>
      </w:r>
      <w:r w:rsidR="001D2326" w:rsidRPr="00477557">
        <w:rPr>
          <w:szCs w:val="24"/>
        </w:rPr>
        <w:t>Vi minner i den sammenheng om at selv om det ikke gjelder noen alminnelig regel om offentlighet i etterforskning av straffesaker, pågår ikke etterforskningen i</w:t>
      </w:r>
      <w:r w:rsidR="00FE6F17">
        <w:rPr>
          <w:szCs w:val="24"/>
        </w:rPr>
        <w:t xml:space="preserve"> d</w:t>
      </w:r>
      <w:r w:rsidR="001D2326" w:rsidRPr="00477557">
        <w:rPr>
          <w:szCs w:val="24"/>
        </w:rPr>
        <w:t xml:space="preserve">et skjulte. Det er ingen regel om at etterforskning skal være hemmelig, jf. Ragna Aarli «Offentlig rettergang» (2010) s. 345. </w:t>
      </w:r>
    </w:p>
    <w:p w:rsidR="000E70B4" w:rsidRDefault="000E70B4" w:rsidP="00561881">
      <w:pPr>
        <w:rPr>
          <w:szCs w:val="24"/>
        </w:rPr>
      </w:pPr>
    </w:p>
    <w:p w:rsidR="00FB26AD" w:rsidRPr="00477557" w:rsidRDefault="008E0FAA" w:rsidP="00561881">
      <w:pPr>
        <w:rPr>
          <w:szCs w:val="24"/>
        </w:rPr>
      </w:pPr>
      <w:r w:rsidRPr="00477557">
        <w:rPr>
          <w:i/>
          <w:szCs w:val="24"/>
        </w:rPr>
        <w:t>For det andre</w:t>
      </w:r>
      <w:r w:rsidRPr="00477557">
        <w:rPr>
          <w:szCs w:val="24"/>
        </w:rPr>
        <w:t xml:space="preserve"> </w:t>
      </w:r>
      <w:r w:rsidR="00B925BF" w:rsidRPr="00477557">
        <w:rPr>
          <w:szCs w:val="24"/>
        </w:rPr>
        <w:t xml:space="preserve">mener vi gjeldende rett tilsier at det oppstilles en plikt til å vurdere merinnsyn for siktelser. </w:t>
      </w:r>
      <w:r w:rsidR="00FB26AD" w:rsidRPr="00477557">
        <w:rPr>
          <w:szCs w:val="24"/>
        </w:rPr>
        <w:t>I 1992 offentliggjorde for eksempel Økokrim siktelsen mot flere involverte i selskapet VIP Scandinavian. I sin påtegning av 3. april 1992, ved behandling av klage fra en av de siktede, uttalte Riksadvokaten at rundskrivet fra 1981 ikke angir et absolutt forbud mot å gi detaljerte opplysninger fra en siktelse eller offentliggjøre den i sin helhet. I vurderingen måtte det etter Riksadvokatens oppfatning legges vekt på:</w:t>
      </w:r>
    </w:p>
    <w:p w:rsidR="00FB26AD" w:rsidRPr="00477557" w:rsidRDefault="00FB26AD" w:rsidP="00561881">
      <w:pPr>
        <w:rPr>
          <w:szCs w:val="24"/>
        </w:rPr>
      </w:pPr>
    </w:p>
    <w:p w:rsidR="00FB26AD" w:rsidRPr="00477557" w:rsidRDefault="00FB26AD" w:rsidP="00FB26AD">
      <w:pPr>
        <w:pStyle w:val="Listeavsnitt"/>
        <w:numPr>
          <w:ilvl w:val="0"/>
          <w:numId w:val="12"/>
        </w:numPr>
        <w:rPr>
          <w:rFonts w:ascii="Times New Roman" w:hAnsi="Times New Roman"/>
          <w:sz w:val="24"/>
          <w:szCs w:val="24"/>
        </w:rPr>
      </w:pPr>
      <w:r w:rsidRPr="00477557">
        <w:rPr>
          <w:rFonts w:ascii="Times New Roman" w:hAnsi="Times New Roman"/>
          <w:sz w:val="24"/>
          <w:szCs w:val="24"/>
        </w:rPr>
        <w:t>Hva (det vil si hvilken type straffbare handlinger) saken og siktelsen gjelder</w:t>
      </w:r>
    </w:p>
    <w:p w:rsidR="00FB26AD" w:rsidRPr="00477557" w:rsidRDefault="00FB26AD" w:rsidP="00FB26AD">
      <w:pPr>
        <w:pStyle w:val="Listeavsnitt"/>
        <w:numPr>
          <w:ilvl w:val="0"/>
          <w:numId w:val="12"/>
        </w:numPr>
        <w:rPr>
          <w:rFonts w:ascii="Times New Roman" w:hAnsi="Times New Roman"/>
          <w:sz w:val="24"/>
          <w:szCs w:val="24"/>
        </w:rPr>
      </w:pPr>
      <w:r w:rsidRPr="00477557">
        <w:rPr>
          <w:rFonts w:ascii="Times New Roman" w:hAnsi="Times New Roman"/>
          <w:sz w:val="24"/>
          <w:szCs w:val="24"/>
        </w:rPr>
        <w:t>Hvor sikre opplysningene i den siktelsen er</w:t>
      </w:r>
    </w:p>
    <w:p w:rsidR="00FB26AD" w:rsidRPr="00477557" w:rsidRDefault="00FB26AD" w:rsidP="00561881">
      <w:pPr>
        <w:pStyle w:val="Listeavsnitt"/>
        <w:numPr>
          <w:ilvl w:val="0"/>
          <w:numId w:val="12"/>
        </w:numPr>
        <w:rPr>
          <w:rFonts w:ascii="Times New Roman" w:hAnsi="Times New Roman"/>
          <w:sz w:val="24"/>
          <w:szCs w:val="24"/>
        </w:rPr>
      </w:pPr>
      <w:r w:rsidRPr="00477557">
        <w:rPr>
          <w:rFonts w:ascii="Times New Roman" w:hAnsi="Times New Roman"/>
          <w:sz w:val="24"/>
          <w:szCs w:val="24"/>
        </w:rPr>
        <w:t>I hvilken grad forholdene i siktelsen har v</w:t>
      </w:r>
      <w:r w:rsidR="00715E67">
        <w:rPr>
          <w:rFonts w:ascii="Times New Roman" w:hAnsi="Times New Roman"/>
          <w:sz w:val="24"/>
          <w:szCs w:val="24"/>
        </w:rPr>
        <w:t>ært gjenstand for omtale i mediene</w:t>
      </w:r>
      <w:r w:rsidRPr="00477557">
        <w:rPr>
          <w:rFonts w:ascii="Times New Roman" w:hAnsi="Times New Roman"/>
          <w:sz w:val="24"/>
          <w:szCs w:val="24"/>
        </w:rPr>
        <w:t xml:space="preserve">. </w:t>
      </w:r>
    </w:p>
    <w:p w:rsidR="000313EF" w:rsidRPr="00477557" w:rsidRDefault="00FB26AD" w:rsidP="00FB26AD">
      <w:pPr>
        <w:rPr>
          <w:szCs w:val="24"/>
        </w:rPr>
      </w:pPr>
      <w:r w:rsidRPr="00477557">
        <w:rPr>
          <w:szCs w:val="24"/>
        </w:rPr>
        <w:t xml:space="preserve">Riksadvokaten fant at kravet til nøktern form åpenbart var tilfredsstilt i dette tilfellet, til tross for at siktelsen var omfattende. </w:t>
      </w:r>
      <w:r w:rsidR="00B925BF" w:rsidRPr="00477557">
        <w:rPr>
          <w:szCs w:val="24"/>
        </w:rPr>
        <w:t xml:space="preserve">Vi minner i den sammenheng også om Siktelsessaken Rt 1979 s. 807 og Landåssaken Rt 1999 s. 1742. </w:t>
      </w:r>
    </w:p>
    <w:p w:rsidR="00272FD8" w:rsidRPr="00477557" w:rsidRDefault="00272FD8" w:rsidP="00FB26AD">
      <w:pPr>
        <w:rPr>
          <w:szCs w:val="24"/>
        </w:rPr>
      </w:pPr>
    </w:p>
    <w:p w:rsidR="009D6B61" w:rsidRPr="00477557" w:rsidRDefault="00F93C37" w:rsidP="00561881">
      <w:pPr>
        <w:rPr>
          <w:szCs w:val="24"/>
        </w:rPr>
      </w:pPr>
      <w:r w:rsidRPr="00477557">
        <w:rPr>
          <w:szCs w:val="24"/>
        </w:rPr>
        <w:t xml:space="preserve">Når det gjelder prinsippet om at påtaleinstruksen § 22-7 må legges til grunn for </w:t>
      </w:r>
      <w:r w:rsidRPr="00477557">
        <w:rPr>
          <w:b/>
          <w:szCs w:val="24"/>
        </w:rPr>
        <w:t>ikke-vedtatte forelegg</w:t>
      </w:r>
      <w:r w:rsidRPr="00477557">
        <w:rPr>
          <w:szCs w:val="24"/>
        </w:rPr>
        <w:t xml:space="preserve">, minner vi her om Riksadvokatens brev av 23. november 1999, der det heter: </w:t>
      </w:r>
    </w:p>
    <w:p w:rsidR="00F93C37" w:rsidRPr="00477557" w:rsidRDefault="00F93C37" w:rsidP="00561881">
      <w:pPr>
        <w:rPr>
          <w:szCs w:val="24"/>
        </w:rPr>
      </w:pPr>
    </w:p>
    <w:p w:rsidR="00F93C37" w:rsidRPr="001706D7" w:rsidRDefault="00F93C37" w:rsidP="00F93C37">
      <w:pPr>
        <w:ind w:left="705"/>
        <w:rPr>
          <w:i/>
          <w:szCs w:val="24"/>
        </w:rPr>
      </w:pPr>
      <w:r w:rsidRPr="001706D7">
        <w:rPr>
          <w:i/>
          <w:szCs w:val="24"/>
        </w:rPr>
        <w:t>«Offentlighet inntrer når kompetent påtalemyndighet har truffet sin beslutning om at saken skal sendes retten. Gjennom meddelelsen av forelegget vil siktede være kjent med innholdet i siktelsen, og noen egen underretning om at det oversendes til retten kan neppe være påkr</w:t>
      </w:r>
      <w:r w:rsidR="006F02A3" w:rsidRPr="001706D7">
        <w:rPr>
          <w:i/>
          <w:szCs w:val="24"/>
        </w:rPr>
        <w:t>evet før offentlighet inntrer.»</w:t>
      </w:r>
    </w:p>
    <w:p w:rsidR="00F75667" w:rsidRPr="002C2EB9" w:rsidRDefault="00F75667" w:rsidP="00561881">
      <w:pPr>
        <w:rPr>
          <w:szCs w:val="24"/>
        </w:rPr>
      </w:pPr>
    </w:p>
    <w:p w:rsidR="001A1232" w:rsidRPr="002C2EB9" w:rsidRDefault="009013E9" w:rsidP="00561881">
      <w:pPr>
        <w:rPr>
          <w:szCs w:val="24"/>
        </w:rPr>
      </w:pPr>
      <w:r w:rsidRPr="002C2EB9">
        <w:rPr>
          <w:szCs w:val="24"/>
        </w:rPr>
        <w:t>Når det gjeld</w:t>
      </w:r>
      <w:r w:rsidR="00715E67">
        <w:rPr>
          <w:szCs w:val="24"/>
        </w:rPr>
        <w:t>er vedtatte forelegg – der mediene</w:t>
      </w:r>
      <w:r w:rsidRPr="002C2EB9">
        <w:rPr>
          <w:szCs w:val="24"/>
        </w:rPr>
        <w:t xml:space="preserve"> er avskåret fra å utøve sin kontrollfunksjon fordi saken er unntatt domstolsbehandling – er det ekstra grunn til å</w:t>
      </w:r>
      <w:r w:rsidR="002C2EB9" w:rsidRPr="002C2EB9">
        <w:rPr>
          <w:szCs w:val="24"/>
        </w:rPr>
        <w:t xml:space="preserve"> praktisere innsyn. Det </w:t>
      </w:r>
      <w:r w:rsidRPr="002C2EB9">
        <w:rPr>
          <w:szCs w:val="24"/>
        </w:rPr>
        <w:t xml:space="preserve">vises til Høyesteretts uttalelser i Legevaktsaken premiss 70 og i Treholtlydbåndsaken premiss </w:t>
      </w:r>
      <w:r w:rsidR="001A1232" w:rsidRPr="002C2EB9">
        <w:rPr>
          <w:szCs w:val="24"/>
        </w:rPr>
        <w:t>55</w:t>
      </w:r>
      <w:r w:rsidRPr="002C2EB9">
        <w:rPr>
          <w:szCs w:val="24"/>
        </w:rPr>
        <w:t xml:space="preserve">. </w:t>
      </w:r>
      <w:r w:rsidR="00BC155E" w:rsidRPr="002C2EB9">
        <w:rPr>
          <w:szCs w:val="24"/>
        </w:rPr>
        <w:t>Det bes om at</w:t>
      </w:r>
      <w:r w:rsidR="001A1232" w:rsidRPr="002C2EB9">
        <w:rPr>
          <w:szCs w:val="24"/>
        </w:rPr>
        <w:t xml:space="preserve"> dette perspektivet tydeliggjøres i rundskrivet. </w:t>
      </w:r>
    </w:p>
    <w:p w:rsidR="009013E9" w:rsidRPr="00477557" w:rsidRDefault="009013E9" w:rsidP="00561881">
      <w:pPr>
        <w:rPr>
          <w:szCs w:val="24"/>
        </w:rPr>
      </w:pPr>
    </w:p>
    <w:p w:rsidR="00F81EBA" w:rsidRPr="00477557" w:rsidRDefault="00F81EBA" w:rsidP="00561881">
      <w:pPr>
        <w:rPr>
          <w:szCs w:val="24"/>
        </w:rPr>
      </w:pPr>
      <w:r w:rsidRPr="00477557">
        <w:rPr>
          <w:szCs w:val="24"/>
        </w:rPr>
        <w:t xml:space="preserve">Vedrørende </w:t>
      </w:r>
      <w:r w:rsidR="00F832FA" w:rsidRPr="0085731B">
        <w:rPr>
          <w:szCs w:val="24"/>
        </w:rPr>
        <w:t>vedtatte forelegg</w:t>
      </w:r>
      <w:r w:rsidR="00F832FA" w:rsidRPr="00477557">
        <w:rPr>
          <w:szCs w:val="24"/>
        </w:rPr>
        <w:t>, vil vi også vise til ovennevnte brev fra Riksadvokaten, der det fremheves at:</w:t>
      </w:r>
    </w:p>
    <w:p w:rsidR="00F832FA" w:rsidRPr="00477557" w:rsidRDefault="00F832FA" w:rsidP="00561881">
      <w:pPr>
        <w:rPr>
          <w:szCs w:val="24"/>
        </w:rPr>
      </w:pPr>
    </w:p>
    <w:p w:rsidR="00F832FA" w:rsidRPr="001706D7" w:rsidRDefault="00F832FA" w:rsidP="00F832FA">
      <w:pPr>
        <w:ind w:left="705"/>
        <w:rPr>
          <w:i/>
          <w:szCs w:val="24"/>
        </w:rPr>
      </w:pPr>
      <w:r w:rsidRPr="001706D7">
        <w:rPr>
          <w:i/>
          <w:szCs w:val="24"/>
        </w:rPr>
        <w:t>«Allmennheten har en legitim interesse i å bli holdt orientert om tjenesteutøvelsen til personer som på det offentliges vegne er satt til å lede og kontrollere andre.»</w:t>
      </w:r>
    </w:p>
    <w:p w:rsidR="00174B23" w:rsidRPr="00477557" w:rsidRDefault="00174B23" w:rsidP="00F832FA">
      <w:pPr>
        <w:ind w:left="705"/>
        <w:rPr>
          <w:szCs w:val="24"/>
        </w:rPr>
      </w:pPr>
    </w:p>
    <w:p w:rsidR="00394002" w:rsidRPr="002C2EB9" w:rsidRDefault="00174B23" w:rsidP="00174B23">
      <w:pPr>
        <w:rPr>
          <w:szCs w:val="24"/>
        </w:rPr>
      </w:pPr>
      <w:r w:rsidRPr="002C2EB9">
        <w:rPr>
          <w:szCs w:val="24"/>
        </w:rPr>
        <w:t xml:space="preserve">Det er positivt at riksadvokaten nå legger opp til at det skal praktiseres meroffentlighet når journalister ber om innsyn i henleggelsesbeslutninger, jfr. politiregisterforskriften § 27-3 (2). Dette følger også av Høyesteretts uttalelser i avsnitt 70-71 i Legevaktsaken, der det understrekes at offentlighetens kontroll med strafferettspleien må ivaretas også når saker blir endelig avgjort av påtalemyndigheten. </w:t>
      </w:r>
    </w:p>
    <w:p w:rsidR="00394002" w:rsidRPr="002C2EB9" w:rsidRDefault="00394002" w:rsidP="00174B23">
      <w:pPr>
        <w:rPr>
          <w:szCs w:val="24"/>
        </w:rPr>
      </w:pPr>
    </w:p>
    <w:p w:rsidR="00394002" w:rsidRPr="002C2EB9" w:rsidRDefault="00394002" w:rsidP="00174B23">
      <w:pPr>
        <w:rPr>
          <w:szCs w:val="24"/>
        </w:rPr>
      </w:pPr>
      <w:r w:rsidRPr="002C2EB9">
        <w:rPr>
          <w:szCs w:val="24"/>
        </w:rPr>
        <w:t xml:space="preserve">Riksadvokaten legger på side 11 til grunn at </w:t>
      </w:r>
      <w:r w:rsidRPr="001706D7">
        <w:rPr>
          <w:b/>
          <w:szCs w:val="24"/>
        </w:rPr>
        <w:t>henleggelsesbeslutninger</w:t>
      </w:r>
      <w:r w:rsidRPr="002C2EB9">
        <w:rPr>
          <w:szCs w:val="24"/>
        </w:rPr>
        <w:t xml:space="preserve"> </w:t>
      </w:r>
      <w:r w:rsidR="002043E8">
        <w:rPr>
          <w:i/>
          <w:szCs w:val="24"/>
        </w:rPr>
        <w:t>«</w:t>
      </w:r>
      <w:r w:rsidRPr="002C2EB9">
        <w:rPr>
          <w:i/>
          <w:szCs w:val="24"/>
        </w:rPr>
        <w:t>må anonymiseres</w:t>
      </w:r>
      <w:r w:rsidR="002043E8">
        <w:rPr>
          <w:i/>
          <w:szCs w:val="24"/>
        </w:rPr>
        <w:t>»</w:t>
      </w:r>
      <w:r w:rsidRPr="002C2EB9">
        <w:rPr>
          <w:szCs w:val="24"/>
        </w:rPr>
        <w:t xml:space="preserve"> før det gis innsyn i disse. V</w:t>
      </w:r>
      <w:r w:rsidR="009A0502" w:rsidRPr="002C2EB9">
        <w:rPr>
          <w:szCs w:val="24"/>
        </w:rPr>
        <w:t>i</w:t>
      </w:r>
      <w:r w:rsidRPr="002C2EB9">
        <w:rPr>
          <w:szCs w:val="24"/>
        </w:rPr>
        <w:t xml:space="preserve"> mener dette er altfor strengt og ber om at </w:t>
      </w:r>
      <w:r w:rsidR="009A0502" w:rsidRPr="002C2EB9">
        <w:rPr>
          <w:szCs w:val="24"/>
        </w:rPr>
        <w:t>dette kravet</w:t>
      </w:r>
      <w:r w:rsidRPr="002C2EB9">
        <w:rPr>
          <w:szCs w:val="24"/>
        </w:rPr>
        <w:t xml:space="preserve"> tas ut av retningslinjene. Som nevnt under pkt. 4 følger det av rettspraksis at myndighetene ikke skal legge vekt på hvorvidt opplysninger kan bli publisert når det tas stilling til om innsyn skal gis</w:t>
      </w:r>
      <w:r w:rsidR="009A0502" w:rsidRPr="002C2EB9">
        <w:rPr>
          <w:szCs w:val="24"/>
        </w:rPr>
        <w:t>. Pressen er som nevnt forpliktet til å ivareta de involvertes personvern iht. Vær Varsom-plakatens</w:t>
      </w:r>
      <w:r w:rsidR="002E491C" w:rsidRPr="002C2EB9">
        <w:rPr>
          <w:szCs w:val="24"/>
        </w:rPr>
        <w:t xml:space="preserve"> </w:t>
      </w:r>
      <w:r w:rsidR="009A0502" w:rsidRPr="002C2EB9">
        <w:rPr>
          <w:szCs w:val="24"/>
        </w:rPr>
        <w:t xml:space="preserve">regler og rettsreglene om privatlivets fred og ærekrenkelser. Vi kan derfor ikke se at det er noen grunn til at henleggelsesbeslutninger skal behandles så strengt som retningslinjene legger opp til. </w:t>
      </w:r>
    </w:p>
    <w:p w:rsidR="00F75667" w:rsidRPr="00477557" w:rsidRDefault="00F75667" w:rsidP="00561881">
      <w:pPr>
        <w:rPr>
          <w:szCs w:val="24"/>
        </w:rPr>
      </w:pPr>
    </w:p>
    <w:p w:rsidR="00DE1E6C" w:rsidRPr="00477557" w:rsidRDefault="00DE1E6C" w:rsidP="00561881">
      <w:pPr>
        <w:rPr>
          <w:szCs w:val="24"/>
        </w:rPr>
      </w:pPr>
    </w:p>
    <w:p w:rsidR="00C106F4" w:rsidRPr="00477557" w:rsidRDefault="002C2EB9" w:rsidP="002C2EB9">
      <w:pPr>
        <w:pStyle w:val="Listeavsnitt"/>
        <w:ind w:left="0"/>
        <w:rPr>
          <w:rFonts w:ascii="Times New Roman" w:hAnsi="Times New Roman"/>
          <w:b/>
          <w:sz w:val="24"/>
          <w:szCs w:val="24"/>
        </w:rPr>
      </w:pPr>
      <w:r>
        <w:rPr>
          <w:rFonts w:ascii="Times New Roman" w:hAnsi="Times New Roman"/>
          <w:b/>
          <w:sz w:val="24"/>
          <w:szCs w:val="24"/>
        </w:rPr>
        <w:t xml:space="preserve">6. </w:t>
      </w:r>
      <w:r w:rsidR="00C106F4" w:rsidRPr="00477557">
        <w:rPr>
          <w:rFonts w:ascii="Times New Roman" w:hAnsi="Times New Roman"/>
          <w:b/>
          <w:sz w:val="24"/>
          <w:szCs w:val="24"/>
        </w:rPr>
        <w:t>Avsluttede saker (utkastets punkt 6.3)</w:t>
      </w:r>
    </w:p>
    <w:p w:rsidR="00DE1E6C" w:rsidRDefault="00DE1E6C" w:rsidP="00C106F4">
      <w:pPr>
        <w:rPr>
          <w:szCs w:val="24"/>
        </w:rPr>
      </w:pPr>
      <w:r>
        <w:rPr>
          <w:szCs w:val="24"/>
        </w:rPr>
        <w:t>Vi ber om at Riksadvokaten legger enda større vekt på anledning</w:t>
      </w:r>
      <w:r w:rsidR="009E450E">
        <w:rPr>
          <w:szCs w:val="24"/>
        </w:rPr>
        <w:t>en</w:t>
      </w:r>
      <w:r>
        <w:rPr>
          <w:szCs w:val="24"/>
        </w:rPr>
        <w:t xml:space="preserve"> til å gjøre unntak fra taushetsplikten i saker der det foreligger saklig grunn for innsyn</w:t>
      </w:r>
      <w:r w:rsidR="00CB665A">
        <w:rPr>
          <w:szCs w:val="24"/>
        </w:rPr>
        <w:t>, for journalister, forfattere, forskere el</w:t>
      </w:r>
      <w:r w:rsidR="009E450E">
        <w:rPr>
          <w:szCs w:val="24"/>
        </w:rPr>
        <w:t>l</w:t>
      </w:r>
      <w:r w:rsidR="00CB665A">
        <w:rPr>
          <w:szCs w:val="24"/>
        </w:rPr>
        <w:t xml:space="preserve">er organisasjoner. Det gjelder </w:t>
      </w:r>
      <w:r>
        <w:rPr>
          <w:szCs w:val="24"/>
        </w:rPr>
        <w:t>særlig i forbindelse med undersøkende prosjekter</w:t>
      </w:r>
      <w:r w:rsidR="00CB665A">
        <w:rPr>
          <w:szCs w:val="24"/>
        </w:rPr>
        <w:t xml:space="preserve"> som </w:t>
      </w:r>
      <w:proofErr w:type="spellStart"/>
      <w:r w:rsidR="00CB665A">
        <w:rPr>
          <w:szCs w:val="24"/>
        </w:rPr>
        <w:t>ettergår</w:t>
      </w:r>
      <w:proofErr w:type="spellEnd"/>
      <w:r w:rsidR="00CB665A">
        <w:rPr>
          <w:szCs w:val="24"/>
        </w:rPr>
        <w:t xml:space="preserve"> saksbehandling i forvaltning og myndigheter for øvrig, og der dokumenter og avgjørelser i avsluttede saker er av vesentlig betydning. Når det i utkastet side 13 i denne forbindelse vektlegges at den som gis innsyn er </w:t>
      </w:r>
      <w:r w:rsidR="000E70B4">
        <w:rPr>
          <w:szCs w:val="24"/>
        </w:rPr>
        <w:t xml:space="preserve">en </w:t>
      </w:r>
      <w:r w:rsidR="00CB665A">
        <w:rPr>
          <w:szCs w:val="24"/>
        </w:rPr>
        <w:t>profesjonell part og praktiserer diskresjon, mener vi at det er grunn til å trekke frem også medienes</w:t>
      </w:r>
      <w:r w:rsidR="000C60B9">
        <w:rPr>
          <w:szCs w:val="24"/>
        </w:rPr>
        <w:t xml:space="preserve"> forpliktelser til diskresjon og</w:t>
      </w:r>
      <w:r w:rsidR="00CB665A">
        <w:rPr>
          <w:szCs w:val="24"/>
        </w:rPr>
        <w:t xml:space="preserve"> personvern</w:t>
      </w:r>
      <w:r w:rsidR="000C60B9">
        <w:rPr>
          <w:szCs w:val="24"/>
        </w:rPr>
        <w:t xml:space="preserve">, </w:t>
      </w:r>
      <w:proofErr w:type="spellStart"/>
      <w:r w:rsidR="000C60B9">
        <w:rPr>
          <w:szCs w:val="24"/>
        </w:rPr>
        <w:t>jf</w:t>
      </w:r>
      <w:proofErr w:type="spellEnd"/>
      <w:r w:rsidR="009E450E">
        <w:rPr>
          <w:szCs w:val="24"/>
        </w:rPr>
        <w:t xml:space="preserve"> Vær Varsom-plakaten. Vi viser her også til foranstående sitater fra Dommerforeningens håndbok om hvilken ansvarsfordeling som må gjelde mellom domstolene og mediene, og også til Hålogaland lagmannsretts påpekning av at «hensynet til både tiltalte og fornærmedes identitet burde være tilstrekkelig beskyttet», ved at mediene viste til «pressens etiske regler, forbudet mot krenkelse av privatlivets fred og injuriebestemmelsene» (kjennelse Hålogaland lagmannsrett 22. februar 2011, </w:t>
      </w:r>
      <w:r w:rsidR="0063089D">
        <w:rPr>
          <w:szCs w:val="24"/>
        </w:rPr>
        <w:t>11-031189SAK-HALO).</w:t>
      </w:r>
    </w:p>
    <w:p w:rsidR="00DE1E6C" w:rsidRDefault="00DE1E6C" w:rsidP="00C106F4">
      <w:pPr>
        <w:rPr>
          <w:szCs w:val="24"/>
        </w:rPr>
      </w:pPr>
    </w:p>
    <w:p w:rsidR="00C106F4" w:rsidRPr="002043E8" w:rsidRDefault="00C106F4" w:rsidP="00C106F4">
      <w:pPr>
        <w:rPr>
          <w:szCs w:val="24"/>
        </w:rPr>
      </w:pPr>
      <w:r w:rsidRPr="00477557">
        <w:rPr>
          <w:szCs w:val="24"/>
        </w:rPr>
        <w:t xml:space="preserve">Vi er uenig med anførselen på side 13 om at pressens kontrollfunksjon er særlig viktig </w:t>
      </w:r>
      <w:r w:rsidR="00DE1E6C">
        <w:rPr>
          <w:szCs w:val="24"/>
        </w:rPr>
        <w:t>«</w:t>
      </w:r>
      <w:r w:rsidRPr="00477557">
        <w:rPr>
          <w:szCs w:val="24"/>
        </w:rPr>
        <w:t xml:space="preserve">når behovet for et kritisk blikk vanskelig kan oppfylles av andre </w:t>
      </w:r>
      <w:r w:rsidRPr="002C2EB9">
        <w:rPr>
          <w:szCs w:val="24"/>
        </w:rPr>
        <w:t>kontrollmekanismer, som adgang til rettslig prøving, klageadgang, Sivilombudsmannens kontroll mv.</w:t>
      </w:r>
      <w:r w:rsidR="00DE1E6C">
        <w:rPr>
          <w:szCs w:val="24"/>
        </w:rPr>
        <w:t>»</w:t>
      </w:r>
      <w:r w:rsidRPr="002C2EB9">
        <w:rPr>
          <w:szCs w:val="24"/>
        </w:rPr>
        <w:t xml:space="preserve"> Medienes kontrollfunksjon kan ikke oppveies av slike andre offentlige kontrollinstanser. </w:t>
      </w:r>
      <w:r w:rsidR="002C2EB9" w:rsidRPr="002C2EB9">
        <w:rPr>
          <w:szCs w:val="24"/>
        </w:rPr>
        <w:t>M</w:t>
      </w:r>
      <w:r w:rsidRPr="002C2EB9">
        <w:rPr>
          <w:szCs w:val="24"/>
        </w:rPr>
        <w:t>edienes kontrollfunksjon</w:t>
      </w:r>
      <w:r w:rsidR="002C2EB9" w:rsidRPr="002C2EB9">
        <w:rPr>
          <w:szCs w:val="24"/>
        </w:rPr>
        <w:t xml:space="preserve"> skal</w:t>
      </w:r>
      <w:r w:rsidRPr="002C2EB9">
        <w:rPr>
          <w:szCs w:val="24"/>
        </w:rPr>
        <w:t xml:space="preserve"> </w:t>
      </w:r>
      <w:r w:rsidR="002C2EB9" w:rsidRPr="002C2EB9">
        <w:rPr>
          <w:szCs w:val="24"/>
        </w:rPr>
        <w:t xml:space="preserve">dessuten </w:t>
      </w:r>
      <w:r w:rsidR="000C16F6" w:rsidRPr="002C2EB9">
        <w:rPr>
          <w:szCs w:val="24"/>
        </w:rPr>
        <w:t xml:space="preserve">også </w:t>
      </w:r>
      <w:r w:rsidR="002C2EB9" w:rsidRPr="002C2EB9">
        <w:rPr>
          <w:szCs w:val="24"/>
        </w:rPr>
        <w:t>omfatte</w:t>
      </w:r>
      <w:r w:rsidRPr="002C2EB9">
        <w:rPr>
          <w:szCs w:val="24"/>
        </w:rPr>
        <w:t xml:space="preserve"> kontrollinstansene</w:t>
      </w:r>
      <w:r w:rsidR="00DE1E6C">
        <w:rPr>
          <w:szCs w:val="24"/>
        </w:rPr>
        <w:t>,</w:t>
      </w:r>
      <w:r w:rsidR="000C16F6" w:rsidRPr="002C2EB9">
        <w:rPr>
          <w:szCs w:val="24"/>
        </w:rPr>
        <w:t xml:space="preserve"> og </w:t>
      </w:r>
      <w:r w:rsidR="002C2EB9" w:rsidRPr="002C2EB9">
        <w:rPr>
          <w:szCs w:val="24"/>
        </w:rPr>
        <w:t xml:space="preserve">endelig har mediene </w:t>
      </w:r>
      <w:r w:rsidRPr="002C2EB9">
        <w:rPr>
          <w:szCs w:val="24"/>
        </w:rPr>
        <w:t>et</w:t>
      </w:r>
      <w:r w:rsidR="00DE1E6C">
        <w:rPr>
          <w:szCs w:val="24"/>
        </w:rPr>
        <w:t xml:space="preserve"> annet samfunnsperspektiv enn kontrollinstansene</w:t>
      </w:r>
      <w:r w:rsidR="002C2EB9" w:rsidRPr="002C2EB9">
        <w:rPr>
          <w:szCs w:val="24"/>
        </w:rPr>
        <w:t>. Det er også slik at den part</w:t>
      </w:r>
      <w:r w:rsidR="000C16F6" w:rsidRPr="002C2EB9">
        <w:rPr>
          <w:szCs w:val="24"/>
        </w:rPr>
        <w:t xml:space="preserve"> som har klageadgang ikke </w:t>
      </w:r>
      <w:r w:rsidR="00236507" w:rsidRPr="002C2EB9">
        <w:rPr>
          <w:szCs w:val="24"/>
        </w:rPr>
        <w:t>ivaretar de interesser som medi</w:t>
      </w:r>
      <w:r w:rsidR="002C2EB9" w:rsidRPr="002C2EB9">
        <w:rPr>
          <w:szCs w:val="24"/>
        </w:rPr>
        <w:t>ene</w:t>
      </w:r>
      <w:r w:rsidR="00236507" w:rsidRPr="002C2EB9">
        <w:rPr>
          <w:szCs w:val="24"/>
        </w:rPr>
        <w:t xml:space="preserve"> skal ivareta</w:t>
      </w:r>
      <w:r w:rsidR="00BC155E" w:rsidRPr="002C2EB9">
        <w:rPr>
          <w:szCs w:val="24"/>
        </w:rPr>
        <w:t>,</w:t>
      </w:r>
      <w:r w:rsidR="00236507" w:rsidRPr="002C2EB9">
        <w:rPr>
          <w:szCs w:val="24"/>
        </w:rPr>
        <w:t xml:space="preserve"> og </w:t>
      </w:r>
      <w:r w:rsidR="000C16F6" w:rsidRPr="002C2EB9">
        <w:rPr>
          <w:szCs w:val="24"/>
        </w:rPr>
        <w:t>det</w:t>
      </w:r>
      <w:r w:rsidR="00DE1E6C">
        <w:rPr>
          <w:szCs w:val="24"/>
        </w:rPr>
        <w:t xml:space="preserve"> er</w:t>
      </w:r>
      <w:r w:rsidR="000C16F6" w:rsidRPr="002C2EB9">
        <w:rPr>
          <w:szCs w:val="24"/>
        </w:rPr>
        <w:t xml:space="preserve"> langt fra sikkert at </w:t>
      </w:r>
      <w:r w:rsidR="002C2EB9" w:rsidRPr="002C2EB9">
        <w:rPr>
          <w:szCs w:val="24"/>
        </w:rPr>
        <w:t>part</w:t>
      </w:r>
      <w:r w:rsidR="000C16F6" w:rsidRPr="002C2EB9">
        <w:rPr>
          <w:szCs w:val="24"/>
        </w:rPr>
        <w:t xml:space="preserve"> som har klageadgang velger</w:t>
      </w:r>
      <w:r w:rsidR="009866EC" w:rsidRPr="002C2EB9">
        <w:rPr>
          <w:szCs w:val="24"/>
        </w:rPr>
        <w:t xml:space="preserve"> </w:t>
      </w:r>
      <w:r w:rsidR="00236507" w:rsidRPr="002C2EB9">
        <w:rPr>
          <w:szCs w:val="24"/>
        </w:rPr>
        <w:t xml:space="preserve">eller har ressurser til </w:t>
      </w:r>
      <w:r w:rsidR="000C16F6" w:rsidRPr="002C2EB9">
        <w:rPr>
          <w:szCs w:val="24"/>
        </w:rPr>
        <w:t xml:space="preserve">å bruke </w:t>
      </w:r>
      <w:r w:rsidR="00DE1E6C">
        <w:rPr>
          <w:szCs w:val="24"/>
        </w:rPr>
        <w:t>sin</w:t>
      </w:r>
      <w:r w:rsidR="00236507" w:rsidRPr="002C2EB9">
        <w:rPr>
          <w:szCs w:val="24"/>
        </w:rPr>
        <w:t xml:space="preserve"> </w:t>
      </w:r>
      <w:r w:rsidR="00DE1E6C">
        <w:rPr>
          <w:szCs w:val="24"/>
        </w:rPr>
        <w:t>klageadgang</w:t>
      </w:r>
      <w:r w:rsidR="00236507" w:rsidRPr="002C2EB9">
        <w:rPr>
          <w:szCs w:val="24"/>
        </w:rPr>
        <w:t>.</w:t>
      </w:r>
    </w:p>
    <w:p w:rsidR="00BD7A20" w:rsidRPr="002043E8" w:rsidRDefault="00BD7A20" w:rsidP="00C106F4">
      <w:pPr>
        <w:rPr>
          <w:szCs w:val="24"/>
        </w:rPr>
      </w:pPr>
    </w:p>
    <w:p w:rsidR="00BD7A20" w:rsidRPr="00BD7A20" w:rsidRDefault="00BD7A20" w:rsidP="00C106F4">
      <w:pPr>
        <w:rPr>
          <w:szCs w:val="24"/>
        </w:rPr>
      </w:pPr>
      <w:r w:rsidRPr="00BD7A20">
        <w:rPr>
          <w:szCs w:val="24"/>
        </w:rPr>
        <w:t>Det er derfor vår oppfatning at rundskrivet må fastslå at ved innsynskrav fra journalister skal det legges til grunn at saken i utgangspunktet har allmenn interesse.</w:t>
      </w:r>
    </w:p>
    <w:p w:rsidR="00C106F4" w:rsidRPr="00477557" w:rsidRDefault="00C106F4" w:rsidP="00C106F4">
      <w:pPr>
        <w:rPr>
          <w:szCs w:val="24"/>
        </w:rPr>
      </w:pPr>
    </w:p>
    <w:p w:rsidR="00BD7A20" w:rsidRPr="002043E8" w:rsidRDefault="00C106F4" w:rsidP="00C106F4">
      <w:pPr>
        <w:rPr>
          <w:szCs w:val="24"/>
        </w:rPr>
      </w:pPr>
      <w:r w:rsidRPr="00477557">
        <w:rPr>
          <w:szCs w:val="24"/>
        </w:rPr>
        <w:t>I utkastet fremheves det prisverdig at det selvsagt ikke kan legges vekt på om politiet, påtalemyndigheten eller andre myndigheter vil komme heldig eller uheldig ut ved et</w:t>
      </w:r>
      <w:r w:rsidR="002C2EB9">
        <w:rPr>
          <w:szCs w:val="24"/>
        </w:rPr>
        <w:t xml:space="preserve"> eventuelt innsyn. V</w:t>
      </w:r>
      <w:r w:rsidRPr="00477557">
        <w:rPr>
          <w:szCs w:val="24"/>
        </w:rPr>
        <w:t>i</w:t>
      </w:r>
      <w:r w:rsidR="002C2EB9">
        <w:rPr>
          <w:szCs w:val="24"/>
        </w:rPr>
        <w:t xml:space="preserve"> mener</w:t>
      </w:r>
      <w:r w:rsidRPr="00477557">
        <w:rPr>
          <w:szCs w:val="24"/>
        </w:rPr>
        <w:t xml:space="preserve"> imidlertid </w:t>
      </w:r>
      <w:r w:rsidR="002C2EB9">
        <w:rPr>
          <w:szCs w:val="24"/>
        </w:rPr>
        <w:t xml:space="preserve">at dette </w:t>
      </w:r>
      <w:r w:rsidRPr="00477557">
        <w:rPr>
          <w:szCs w:val="24"/>
        </w:rPr>
        <w:t>kan</w:t>
      </w:r>
      <w:r w:rsidR="00DE1E6C">
        <w:rPr>
          <w:szCs w:val="24"/>
        </w:rPr>
        <w:t xml:space="preserve"> og bør</w:t>
      </w:r>
      <w:r w:rsidR="002C2EB9">
        <w:rPr>
          <w:szCs w:val="24"/>
        </w:rPr>
        <w:t xml:space="preserve"> uttrykkes enda klarere, ettersom</w:t>
      </w:r>
      <w:r w:rsidRPr="00477557">
        <w:rPr>
          <w:szCs w:val="24"/>
        </w:rPr>
        <w:t xml:space="preserve"> dette er et omfattende problem i praksis. Å beskytte seg mot kritikk ligger langt utenfor taushe</w:t>
      </w:r>
      <w:r w:rsidR="002C2EB9">
        <w:rPr>
          <w:szCs w:val="24"/>
        </w:rPr>
        <w:t xml:space="preserve">tspliktens formål, </w:t>
      </w:r>
      <w:r w:rsidR="002C2EB9" w:rsidRPr="002C2EB9">
        <w:rPr>
          <w:szCs w:val="24"/>
        </w:rPr>
        <w:t>o</w:t>
      </w:r>
      <w:r w:rsidR="00236507" w:rsidRPr="002C2EB9">
        <w:rPr>
          <w:szCs w:val="24"/>
        </w:rPr>
        <w:t>g dersom det foreligger mistanke om kritikkverdige forhold er det</w:t>
      </w:r>
      <w:r w:rsidR="00DE1E6C">
        <w:rPr>
          <w:szCs w:val="24"/>
        </w:rPr>
        <w:t xml:space="preserve"> selvsagt</w:t>
      </w:r>
      <w:r w:rsidR="00236507" w:rsidRPr="002C2EB9">
        <w:rPr>
          <w:szCs w:val="24"/>
        </w:rPr>
        <w:t xml:space="preserve"> </w:t>
      </w:r>
      <w:r w:rsidR="00236507" w:rsidRPr="002C2EB9">
        <w:rPr>
          <w:i/>
          <w:szCs w:val="24"/>
        </w:rPr>
        <w:t>større</w:t>
      </w:r>
      <w:r w:rsidR="00236507" w:rsidRPr="002C2EB9">
        <w:rPr>
          <w:szCs w:val="24"/>
        </w:rPr>
        <w:t xml:space="preserve"> grunn til å praktisere innsyn.</w:t>
      </w:r>
      <w:r w:rsidR="00236507" w:rsidRPr="002043E8">
        <w:rPr>
          <w:szCs w:val="24"/>
        </w:rPr>
        <w:t xml:space="preserve"> </w:t>
      </w:r>
    </w:p>
    <w:p w:rsidR="00C106F4" w:rsidRPr="00A4196F" w:rsidRDefault="00C106F4" w:rsidP="00C106F4">
      <w:pPr>
        <w:rPr>
          <w:b/>
          <w:szCs w:val="24"/>
        </w:rPr>
      </w:pPr>
    </w:p>
    <w:p w:rsidR="00FC32F4" w:rsidRPr="00A4196F" w:rsidRDefault="0048371D" w:rsidP="00C106F4">
      <w:pPr>
        <w:rPr>
          <w:szCs w:val="24"/>
        </w:rPr>
      </w:pPr>
      <w:r w:rsidRPr="00A4196F">
        <w:rPr>
          <w:szCs w:val="24"/>
        </w:rPr>
        <w:t>P</w:t>
      </w:r>
      <w:r w:rsidR="001861BA" w:rsidRPr="00A4196F">
        <w:rPr>
          <w:szCs w:val="24"/>
        </w:rPr>
        <w:t xml:space="preserve">raksis fra EMD </w:t>
      </w:r>
      <w:r w:rsidRPr="00A4196F">
        <w:rPr>
          <w:szCs w:val="24"/>
        </w:rPr>
        <w:t xml:space="preserve">tilsier </w:t>
      </w:r>
      <w:r w:rsidR="001861BA" w:rsidRPr="00A4196F">
        <w:rPr>
          <w:szCs w:val="24"/>
        </w:rPr>
        <w:t xml:space="preserve">at vernet av avdøde personers </w:t>
      </w:r>
      <w:r w:rsidR="00B10776" w:rsidRPr="00A4196F">
        <w:rPr>
          <w:szCs w:val="24"/>
        </w:rPr>
        <w:t>privatliv er relativt begrenset</w:t>
      </w:r>
      <w:r w:rsidR="000E70B4">
        <w:rPr>
          <w:szCs w:val="24"/>
        </w:rPr>
        <w:t>. Det</w:t>
      </w:r>
      <w:r w:rsidR="00B10776" w:rsidRPr="00A4196F">
        <w:rPr>
          <w:szCs w:val="24"/>
        </w:rPr>
        <w:t xml:space="preserve"> er </w:t>
      </w:r>
      <w:r w:rsidR="000E70B4">
        <w:rPr>
          <w:szCs w:val="24"/>
        </w:rPr>
        <w:t xml:space="preserve">særlig </w:t>
      </w:r>
      <w:r w:rsidR="00B10776" w:rsidRPr="00A4196F">
        <w:rPr>
          <w:szCs w:val="24"/>
        </w:rPr>
        <w:t xml:space="preserve">hensynet til de etterlatte og deres sorgprosess som er det vesentlige, </w:t>
      </w:r>
      <w:r w:rsidRPr="00A4196F">
        <w:rPr>
          <w:szCs w:val="24"/>
        </w:rPr>
        <w:t xml:space="preserve">og </w:t>
      </w:r>
      <w:r w:rsidR="00B10776" w:rsidRPr="00A4196F">
        <w:rPr>
          <w:szCs w:val="24"/>
        </w:rPr>
        <w:t xml:space="preserve">vernet </w:t>
      </w:r>
      <w:r w:rsidR="000E70B4">
        <w:rPr>
          <w:szCs w:val="24"/>
        </w:rPr>
        <w:t xml:space="preserve">varer </w:t>
      </w:r>
      <w:r w:rsidR="00A4196F" w:rsidRPr="00A4196F">
        <w:rPr>
          <w:szCs w:val="24"/>
        </w:rPr>
        <w:t xml:space="preserve">dessuten </w:t>
      </w:r>
      <w:r w:rsidR="00B10776" w:rsidRPr="00A4196F">
        <w:rPr>
          <w:szCs w:val="24"/>
        </w:rPr>
        <w:t>relativt kort tid etter vedkom</w:t>
      </w:r>
      <w:r w:rsidRPr="00A4196F">
        <w:rPr>
          <w:szCs w:val="24"/>
        </w:rPr>
        <w:t>m</w:t>
      </w:r>
      <w:r w:rsidR="00B10776" w:rsidRPr="00A4196F">
        <w:rPr>
          <w:szCs w:val="24"/>
        </w:rPr>
        <w:t xml:space="preserve">endes død. Det kan her blant annet vises til </w:t>
      </w:r>
      <w:r w:rsidR="00AC047A" w:rsidRPr="00A4196F">
        <w:rPr>
          <w:szCs w:val="24"/>
        </w:rPr>
        <w:t>Editions Plon mot Frankrike</w:t>
      </w:r>
      <w:r w:rsidR="00333FE9" w:rsidRPr="00A4196F">
        <w:rPr>
          <w:szCs w:val="24"/>
        </w:rPr>
        <w:t xml:space="preserve"> fra 2004</w:t>
      </w:r>
      <w:r w:rsidR="001706D7">
        <w:rPr>
          <w:szCs w:val="24"/>
        </w:rPr>
        <w:t>,</w:t>
      </w:r>
      <w:r w:rsidR="00AC047A" w:rsidRPr="00A4196F">
        <w:rPr>
          <w:szCs w:val="24"/>
        </w:rPr>
        <w:t xml:space="preserve"> som gjaldt utgivelsen av en bok</w:t>
      </w:r>
      <w:r w:rsidR="00FC32F4" w:rsidRPr="00A4196F">
        <w:rPr>
          <w:szCs w:val="24"/>
        </w:rPr>
        <w:t xml:space="preserve"> om </w:t>
      </w:r>
      <w:r w:rsidR="00AC047A" w:rsidRPr="00A4196F">
        <w:rPr>
          <w:szCs w:val="24"/>
        </w:rPr>
        <w:t xml:space="preserve">forholdet mellom den franske presidenten og hans lege der det fremkom en rekke opplysninger underlagt legens taushetsplikt. EMD anså at en midlertidig forføyning avsagt 10 dager etter presidentens død ikke var en krenkelse av artikkel 10, men at opprettholdelse av forføyningen ni måneder etter hans død </w:t>
      </w:r>
      <w:r w:rsidR="00A4196F" w:rsidRPr="00A4196F">
        <w:rPr>
          <w:szCs w:val="24"/>
        </w:rPr>
        <w:t>derimot</w:t>
      </w:r>
      <w:r w:rsidR="00DE1E6C">
        <w:rPr>
          <w:szCs w:val="24"/>
        </w:rPr>
        <w:t xml:space="preserve"> </w:t>
      </w:r>
      <w:r w:rsidR="00AC047A" w:rsidRPr="00A4196F">
        <w:rPr>
          <w:szCs w:val="24"/>
        </w:rPr>
        <w:t xml:space="preserve">var en krenkelse av artikkel 10. </w:t>
      </w:r>
    </w:p>
    <w:p w:rsidR="00FC32F4" w:rsidRPr="00A4196F" w:rsidRDefault="00FC32F4" w:rsidP="00C106F4">
      <w:pPr>
        <w:rPr>
          <w:szCs w:val="24"/>
        </w:rPr>
      </w:pPr>
    </w:p>
    <w:p w:rsidR="00BD7A20" w:rsidRPr="00A4196F" w:rsidRDefault="00FC32F4" w:rsidP="00C106F4">
      <w:pPr>
        <w:rPr>
          <w:szCs w:val="24"/>
        </w:rPr>
      </w:pPr>
      <w:r w:rsidRPr="00A4196F">
        <w:rPr>
          <w:szCs w:val="24"/>
        </w:rPr>
        <w:t>I den interesseavveining som skal gjøres etter artikkel 10 nr. 2 når mediene ber om innsyn</w:t>
      </w:r>
      <w:r w:rsidR="00333FE9" w:rsidRPr="00A4196F">
        <w:rPr>
          <w:szCs w:val="24"/>
        </w:rPr>
        <w:t>,</w:t>
      </w:r>
      <w:r w:rsidRPr="00A4196F">
        <w:rPr>
          <w:szCs w:val="24"/>
        </w:rPr>
        <w:t xml:space="preserve"> vil det således være av vesentlig betydning </w:t>
      </w:r>
      <w:r w:rsidR="00333FE9" w:rsidRPr="00A4196F">
        <w:rPr>
          <w:szCs w:val="24"/>
        </w:rPr>
        <w:t>at den</w:t>
      </w:r>
      <w:r w:rsidRPr="00A4196F">
        <w:rPr>
          <w:szCs w:val="24"/>
        </w:rPr>
        <w:t xml:space="preserve"> de personlige opplysningene er knyttet</w:t>
      </w:r>
      <w:r w:rsidR="00333FE9" w:rsidRPr="00A4196F">
        <w:rPr>
          <w:szCs w:val="24"/>
        </w:rPr>
        <w:t xml:space="preserve"> til er død, samt hvor lenge </w:t>
      </w:r>
      <w:r w:rsidRPr="00A4196F">
        <w:rPr>
          <w:szCs w:val="24"/>
        </w:rPr>
        <w:t xml:space="preserve">vedkommende </w:t>
      </w:r>
      <w:r w:rsidR="00333FE9" w:rsidRPr="00A4196F">
        <w:rPr>
          <w:szCs w:val="24"/>
        </w:rPr>
        <w:t xml:space="preserve">har vært </w:t>
      </w:r>
      <w:r w:rsidRPr="00A4196F">
        <w:rPr>
          <w:szCs w:val="24"/>
        </w:rPr>
        <w:t xml:space="preserve">død. </w:t>
      </w:r>
      <w:r w:rsidR="00A4196F" w:rsidRPr="00A4196F">
        <w:rPr>
          <w:szCs w:val="24"/>
        </w:rPr>
        <w:t>Vi ber</w:t>
      </w:r>
      <w:r w:rsidR="00D354B2" w:rsidRPr="00A4196F">
        <w:rPr>
          <w:szCs w:val="24"/>
        </w:rPr>
        <w:t xml:space="preserve"> om at dette kommer </w:t>
      </w:r>
      <w:r w:rsidRPr="00A4196F">
        <w:rPr>
          <w:szCs w:val="24"/>
        </w:rPr>
        <w:t xml:space="preserve">tydeligere frem i rundskrivet. </w:t>
      </w:r>
    </w:p>
    <w:p w:rsidR="00FC32F4" w:rsidRPr="002043E8" w:rsidRDefault="00FC32F4" w:rsidP="00C106F4">
      <w:pPr>
        <w:rPr>
          <w:szCs w:val="24"/>
        </w:rPr>
      </w:pPr>
    </w:p>
    <w:p w:rsidR="00D959E3" w:rsidRDefault="008B345D" w:rsidP="00C106F4">
      <w:pPr>
        <w:rPr>
          <w:szCs w:val="24"/>
        </w:rPr>
      </w:pPr>
      <w:r>
        <w:rPr>
          <w:szCs w:val="24"/>
        </w:rPr>
        <w:t>Nest siste avsnitt</w:t>
      </w:r>
      <w:r w:rsidR="0063089D">
        <w:rPr>
          <w:szCs w:val="24"/>
        </w:rPr>
        <w:t xml:space="preserve"> på side 13 om avsluttede straffesaker som er overlevert Arkivverket er etter vår oppfatning ufullstendig og misvisende. For det første er det viktig å skille mellom taushetsplikt til vern av personlige forhold og vern av konkurransemessige hensyn for virksomheter. Begge former for taushetsplikt kan av forskjellige årsaker bortfalle langt tidligere enn de 60 år som forvaltningsloven § 13c siste punktum fastsetter. Normalt vil i alle tilfeller taushetsplikt av konkurransemessige hensyn ofte falle bort etter kort tid. </w:t>
      </w:r>
    </w:p>
    <w:p w:rsidR="00D959E3" w:rsidRDefault="00D959E3" w:rsidP="00C106F4">
      <w:pPr>
        <w:rPr>
          <w:szCs w:val="24"/>
        </w:rPr>
      </w:pPr>
    </w:p>
    <w:p w:rsidR="0063089D" w:rsidRDefault="0063089D" w:rsidP="00C106F4">
      <w:pPr>
        <w:rPr>
          <w:szCs w:val="24"/>
        </w:rPr>
      </w:pPr>
      <w:r>
        <w:rPr>
          <w:szCs w:val="24"/>
        </w:rPr>
        <w:t xml:space="preserve">Mer alvorlig mener vi at den kategoriske siste setning i avsnittet er, om at «Arkivverket kan forlenge sperrefristen». Strengt tatt er det vel også galt å snakke om «sperrefrist», men vår viktigste anførsel er at </w:t>
      </w:r>
      <w:r w:rsidR="001C187A">
        <w:rPr>
          <w:szCs w:val="24"/>
        </w:rPr>
        <w:t>den fullmakt riksarkivaren har etter forvaltningsforskriften § 11 til å fastsette forlenget taushetsplikt i arkivets saker, bare gjelder «i det enkelte tilfelle». En generell forlengelse som i 1988 var fastsatt for alle straffesaker ble opphevet av departementet som ugyldig i 1997, etter klage fra Norsk Presseforbund.</w:t>
      </w:r>
      <w:r w:rsidR="00D959E3">
        <w:rPr>
          <w:szCs w:val="24"/>
        </w:rPr>
        <w:t xml:space="preserve"> Det ble presisert av departementet at riksarkivaren er forpliktet til å «foreta en skjønnsmessig vurdering i det enkelte tilfelle for å vurdere behovet for å forlenge taushetsplikten utover 60 år.»</w:t>
      </w:r>
    </w:p>
    <w:p w:rsidR="001C187A" w:rsidRDefault="001C187A" w:rsidP="00C106F4">
      <w:pPr>
        <w:rPr>
          <w:szCs w:val="24"/>
        </w:rPr>
      </w:pPr>
    </w:p>
    <w:p w:rsidR="008B345D" w:rsidRPr="008B345D" w:rsidRDefault="001C187A" w:rsidP="00C106F4">
      <w:pPr>
        <w:rPr>
          <w:szCs w:val="24"/>
        </w:rPr>
      </w:pPr>
      <w:r>
        <w:rPr>
          <w:szCs w:val="24"/>
        </w:rPr>
        <w:t>I denne forbindelse mener vi det også er riktig å vise til at Kulturdepartementet</w:t>
      </w:r>
      <w:r w:rsidR="008B345D">
        <w:rPr>
          <w:szCs w:val="24"/>
        </w:rPr>
        <w:t xml:space="preserve"> for kort tid siden har endret sin innsynspraksis, etter</w:t>
      </w:r>
      <w:r>
        <w:rPr>
          <w:szCs w:val="24"/>
        </w:rPr>
        <w:t xml:space="preserve"> en klagesak </w:t>
      </w:r>
      <w:r w:rsidR="008B345D">
        <w:rPr>
          <w:szCs w:val="24"/>
        </w:rPr>
        <w:t xml:space="preserve">fra NRK om innsyn i en straffesak fra 1993. Departementet har lagt vekt på Justiskomiteens uttalelse i forbindelse med behandlingen av </w:t>
      </w:r>
      <w:r w:rsidR="008B345D" w:rsidRPr="008B345D">
        <w:rPr>
          <w:szCs w:val="24"/>
        </w:rPr>
        <w:t xml:space="preserve">straffeprosessloven § 28 og medienes behov for innsyn i eldre rettsavgjørelser, som også er nevnt i utkastet punkt 6.1 (Ot.prp. nr. 55 (1997-1998) </w:t>
      </w:r>
      <w:proofErr w:type="spellStart"/>
      <w:r w:rsidR="008B345D" w:rsidRPr="008B345D">
        <w:rPr>
          <w:szCs w:val="24"/>
        </w:rPr>
        <w:t>kap</w:t>
      </w:r>
      <w:proofErr w:type="spellEnd"/>
      <w:r w:rsidR="008B345D" w:rsidRPr="008B345D">
        <w:rPr>
          <w:szCs w:val="24"/>
        </w:rPr>
        <w:t xml:space="preserve">. 7.4 s. 71.) </w:t>
      </w:r>
    </w:p>
    <w:p w:rsidR="008B345D" w:rsidRPr="008B345D" w:rsidRDefault="008B345D" w:rsidP="00C106F4">
      <w:pPr>
        <w:rPr>
          <w:szCs w:val="24"/>
        </w:rPr>
      </w:pPr>
    </w:p>
    <w:p w:rsidR="001C187A" w:rsidRPr="008B345D" w:rsidRDefault="008B345D" w:rsidP="00C106F4">
      <w:pPr>
        <w:rPr>
          <w:szCs w:val="24"/>
        </w:rPr>
      </w:pPr>
      <w:r w:rsidRPr="008B345D">
        <w:rPr>
          <w:szCs w:val="24"/>
        </w:rPr>
        <w:t>Departementet skriver (i brev til NRK 16. februar 2017, sak 2016/7460):</w:t>
      </w:r>
    </w:p>
    <w:p w:rsidR="00D03AE8" w:rsidRDefault="00D03AE8" w:rsidP="00C106F4">
      <w:pPr>
        <w:rPr>
          <w:szCs w:val="24"/>
        </w:rPr>
      </w:pPr>
    </w:p>
    <w:p w:rsidR="004536A9" w:rsidRPr="004536A9" w:rsidRDefault="002043E8" w:rsidP="004536A9">
      <w:pPr>
        <w:ind w:left="708"/>
        <w:rPr>
          <w:i/>
          <w:iCs/>
        </w:rPr>
      </w:pPr>
      <w:r>
        <w:rPr>
          <w:i/>
          <w:iCs/>
        </w:rPr>
        <w:t>«</w:t>
      </w:r>
      <w:r w:rsidR="004536A9" w:rsidRPr="004536A9">
        <w:rPr>
          <w:i/>
          <w:iCs/>
        </w:rPr>
        <w:t xml:space="preserve">I domstolloven § 124 første ledd er det fastsatt at rettsavgjørelser kan gjengis offentlig. </w:t>
      </w:r>
      <w:r w:rsidR="004536A9" w:rsidRPr="004536A9">
        <w:rPr>
          <w:i/>
          <w:iCs/>
          <w:u w:val="single"/>
        </w:rPr>
        <w:t>Etter departementets vurdering er denne bestemmelsen en klar forutsetning om at taushetsplikt om noens personlige forhold ikke skal gjelde for offentlige rettsavgjørelser</w:t>
      </w:r>
      <w:r w:rsidR="004536A9" w:rsidRPr="004536A9">
        <w:rPr>
          <w:i/>
          <w:iCs/>
        </w:rPr>
        <w:t>.</w:t>
      </w:r>
    </w:p>
    <w:p w:rsidR="004536A9" w:rsidRPr="004536A9" w:rsidRDefault="004536A9" w:rsidP="004536A9">
      <w:pPr>
        <w:ind w:left="708"/>
        <w:rPr>
          <w:i/>
          <w:iCs/>
        </w:rPr>
      </w:pPr>
      <w:r w:rsidRPr="004536A9">
        <w:rPr>
          <w:i/>
          <w:iCs/>
        </w:rPr>
        <w:t>[…]</w:t>
      </w:r>
    </w:p>
    <w:p w:rsidR="00D03AE8" w:rsidRDefault="00D03AE8" w:rsidP="004536A9">
      <w:pPr>
        <w:ind w:left="708"/>
        <w:rPr>
          <w:i/>
          <w:iCs/>
          <w:sz w:val="22"/>
        </w:rPr>
      </w:pPr>
      <w:r>
        <w:rPr>
          <w:i/>
          <w:iCs/>
        </w:rPr>
        <w:t xml:space="preserve">Departementet har vurdert om praktiseringen av medias rett til innsyn bør endres for arkivmateriale som domstoler har avlevert til Arkivverket. Det er fastsatt i arkivforskriften § 5-6 at arkivdepotet skal legge til rette for at publikum kan bruke arkivmaterialet innenfor gjeldende bestemmelser om innsynsrett, taushetsplikt og gradering. Etter KUDs vurdering er straffeprosessloven § 28 tredje ledd en av bestemmelsene som regulerer innsynsrett i arkivmateriale som er avlevert til Arkivverket. </w:t>
      </w:r>
      <w:r w:rsidR="004536A9" w:rsidRPr="004536A9">
        <w:rPr>
          <w:i/>
          <w:iCs/>
          <w:u w:val="single"/>
        </w:rPr>
        <w:t>Den ovenfor nevnte påpekningen fra justiskomiteen om domstolenes tilbakeholdenhet med avslag på søknader fra media bør vektlegges også ved behandling av søknader om innsyn i arkivmateriale som domstoler har avlevert til Arkivverket</w:t>
      </w:r>
      <w:r w:rsidR="004536A9" w:rsidRPr="004536A9">
        <w:rPr>
          <w:i/>
          <w:iCs/>
        </w:rPr>
        <w:t>. Etter KUDs vurdering bør NRK derfor få innsyn i dommen fra 1993</w:t>
      </w:r>
      <w:r w:rsidR="004536A9">
        <w:rPr>
          <w:i/>
          <w:iCs/>
        </w:rPr>
        <w:t>.</w:t>
      </w:r>
      <w:r w:rsidR="002043E8">
        <w:rPr>
          <w:i/>
          <w:iCs/>
        </w:rPr>
        <w:t>»</w:t>
      </w:r>
    </w:p>
    <w:p w:rsidR="001C187A" w:rsidRDefault="001C187A" w:rsidP="00C106F4">
      <w:pPr>
        <w:rPr>
          <w:szCs w:val="24"/>
        </w:rPr>
      </w:pPr>
    </w:p>
    <w:p w:rsidR="004536A9" w:rsidRDefault="004536A9" w:rsidP="00C106F4"/>
    <w:p w:rsidR="001706D7" w:rsidRPr="00C46276" w:rsidRDefault="004536A9" w:rsidP="00C106F4">
      <w:pPr>
        <w:rPr>
          <w:color w:val="000000" w:themeColor="text1"/>
        </w:rPr>
      </w:pPr>
      <w:r w:rsidRPr="00C46276">
        <w:rPr>
          <w:color w:val="000000" w:themeColor="text1"/>
        </w:rPr>
        <w:t xml:space="preserve">Som det fremkommer er utgangspunktet at taushetsplikt for noens personlige forhold ikke gjelder for rettsavgjørelser. Når myndighetene velger å straffeforfølge noen har det i seg selv så stor offentlig interesse at hensynet til vern av taushetsbelagte opplysninger må vike. Det skal i denne sammenheng vises til at dommen NRK her ble gitt innsyn i gjaldt svært sensitive </w:t>
      </w:r>
      <w:r w:rsidR="00861CB8" w:rsidRPr="00C46276">
        <w:rPr>
          <w:color w:val="000000" w:themeColor="text1"/>
        </w:rPr>
        <w:t xml:space="preserve">opplysninger (utuktig adferd). </w:t>
      </w:r>
    </w:p>
    <w:p w:rsidR="0063089D" w:rsidRPr="0063089D" w:rsidRDefault="0063089D" w:rsidP="00C106F4">
      <w:pPr>
        <w:rPr>
          <w:szCs w:val="24"/>
        </w:rPr>
      </w:pPr>
    </w:p>
    <w:p w:rsidR="004536A9" w:rsidRPr="004536A9" w:rsidRDefault="004536A9" w:rsidP="004536A9">
      <w:pPr>
        <w:rPr>
          <w:szCs w:val="24"/>
        </w:rPr>
      </w:pPr>
      <w:r w:rsidRPr="004536A9">
        <w:rPr>
          <w:szCs w:val="24"/>
        </w:rPr>
        <w:t>Når det gjelder gamle straffesaker, synes vi det er positivt at rundskrivet uttrykkelig åpner for innsyn. Vi ber imidlertid om at det tydeliggjøres at dette ikke er begrenset til saker som er «minst 30-40 år gamle», jfr. ovenfor om begrenset vern for avdøde personer, den avveiningen som skal gjøres etter artikkel 10 og at taushetsplikt om noens personlige forhold ikke gjelder for rettsavgjørelser.</w:t>
      </w:r>
    </w:p>
    <w:p w:rsidR="00E0186F" w:rsidRDefault="00E0186F" w:rsidP="003A3623">
      <w:pPr>
        <w:pStyle w:val="Listeavsnitt"/>
        <w:ind w:left="0"/>
        <w:rPr>
          <w:szCs w:val="24"/>
        </w:rPr>
      </w:pPr>
    </w:p>
    <w:p w:rsidR="00861CB8" w:rsidRDefault="00861CB8" w:rsidP="003A3623">
      <w:pPr>
        <w:pStyle w:val="Listeavsnitt"/>
        <w:ind w:left="0"/>
        <w:rPr>
          <w:szCs w:val="24"/>
        </w:rPr>
      </w:pPr>
    </w:p>
    <w:p w:rsidR="00D354B2" w:rsidRPr="007C57F3" w:rsidRDefault="003A3623" w:rsidP="003A3623">
      <w:pPr>
        <w:pStyle w:val="Listeavsnitt"/>
        <w:ind w:left="0"/>
        <w:rPr>
          <w:rFonts w:ascii="Times New Roman" w:hAnsi="Times New Roman"/>
          <w:b/>
          <w:sz w:val="24"/>
          <w:szCs w:val="24"/>
        </w:rPr>
      </w:pPr>
      <w:r w:rsidRPr="007C57F3">
        <w:rPr>
          <w:rFonts w:ascii="Times New Roman" w:hAnsi="Times New Roman"/>
          <w:b/>
          <w:sz w:val="24"/>
          <w:szCs w:val="24"/>
        </w:rPr>
        <w:t xml:space="preserve">7. </w:t>
      </w:r>
      <w:r w:rsidR="00D354B2" w:rsidRPr="007C57F3">
        <w:rPr>
          <w:rFonts w:ascii="Times New Roman" w:hAnsi="Times New Roman"/>
          <w:b/>
          <w:sz w:val="24"/>
          <w:szCs w:val="24"/>
        </w:rPr>
        <w:t>Verserende saker (utkastets punkt 6.4)</w:t>
      </w:r>
    </w:p>
    <w:p w:rsidR="00D354B2" w:rsidRPr="00E0186F" w:rsidRDefault="00562A57" w:rsidP="00D354B2">
      <w:pPr>
        <w:rPr>
          <w:szCs w:val="24"/>
        </w:rPr>
      </w:pPr>
      <w:r w:rsidRPr="00E0186F">
        <w:rPr>
          <w:szCs w:val="24"/>
        </w:rPr>
        <w:t xml:space="preserve">Som nevnt mener vi det må foreligge en plikt til å oppgi hva siktelsen gjelder. </w:t>
      </w:r>
    </w:p>
    <w:p w:rsidR="00562A57" w:rsidRPr="00E0186F" w:rsidRDefault="00562A57" w:rsidP="00562A57">
      <w:pPr>
        <w:rPr>
          <w:szCs w:val="24"/>
        </w:rPr>
      </w:pPr>
      <w:r w:rsidRPr="00E0186F">
        <w:rPr>
          <w:szCs w:val="24"/>
        </w:rPr>
        <w:t>I Dommerforeningens håndbok Dommerne og mediene (2012) kap. 7.4.3.2 er det påpekt at det er påtalemyndigheten som må ta stilling til innsyns</w:t>
      </w:r>
      <w:r w:rsidR="00861CB8">
        <w:rPr>
          <w:szCs w:val="24"/>
        </w:rPr>
        <w:t>krav</w:t>
      </w:r>
      <w:r w:rsidRPr="00E0186F">
        <w:rPr>
          <w:szCs w:val="24"/>
        </w:rPr>
        <w:t xml:space="preserve"> i straffesaksdokumenter, og det er anbefalt at bevisoppgaven som hovedregel utleveres pressen.</w:t>
      </w:r>
    </w:p>
    <w:p w:rsidR="00BC155E" w:rsidRPr="00E0186F" w:rsidRDefault="00BC155E" w:rsidP="00562A57">
      <w:pPr>
        <w:rPr>
          <w:szCs w:val="24"/>
        </w:rPr>
      </w:pPr>
    </w:p>
    <w:p w:rsidR="00562A57" w:rsidRPr="00E0186F" w:rsidRDefault="00562A57" w:rsidP="00562A57">
      <w:pPr>
        <w:rPr>
          <w:szCs w:val="24"/>
        </w:rPr>
      </w:pPr>
      <w:r w:rsidRPr="00E0186F">
        <w:rPr>
          <w:szCs w:val="24"/>
        </w:rPr>
        <w:t>Riksadvokaten foreslår at i saker hvor medi</w:t>
      </w:r>
      <w:r w:rsidR="00E0186F">
        <w:rPr>
          <w:szCs w:val="24"/>
        </w:rPr>
        <w:t>ene</w:t>
      </w:r>
      <w:r w:rsidRPr="00E0186F">
        <w:rPr>
          <w:szCs w:val="24"/>
        </w:rPr>
        <w:t xml:space="preserve"> har krav på kopi av tiltalen kan </w:t>
      </w:r>
      <w:r w:rsidR="00E0186F">
        <w:rPr>
          <w:szCs w:val="24"/>
        </w:rPr>
        <w:t>mediene</w:t>
      </w:r>
      <w:r w:rsidRPr="00E0186F">
        <w:rPr>
          <w:szCs w:val="24"/>
        </w:rPr>
        <w:t xml:space="preserve"> som hovedregel også få kopi av bevisoppgaven når den er sendt retten og partenes advokater</w:t>
      </w:r>
      <w:r w:rsidR="00C61FCF" w:rsidRPr="00E0186F">
        <w:rPr>
          <w:szCs w:val="24"/>
        </w:rPr>
        <w:t>. Det foreslås at</w:t>
      </w:r>
      <w:r w:rsidRPr="00E0186F">
        <w:rPr>
          <w:szCs w:val="24"/>
        </w:rPr>
        <w:t xml:space="preserve"> vitn</w:t>
      </w:r>
      <w:r w:rsidR="002043E8">
        <w:rPr>
          <w:szCs w:val="24"/>
        </w:rPr>
        <w:t>enes personalia, unntatt navn, «</w:t>
      </w:r>
      <w:r w:rsidRPr="00E0186F">
        <w:rPr>
          <w:szCs w:val="24"/>
        </w:rPr>
        <w:t>bør normalt</w:t>
      </w:r>
      <w:r w:rsidR="002043E8">
        <w:rPr>
          <w:szCs w:val="24"/>
        </w:rPr>
        <w:t>»</w:t>
      </w:r>
      <w:r w:rsidRPr="00E0186F">
        <w:rPr>
          <w:szCs w:val="24"/>
        </w:rPr>
        <w:t xml:space="preserve"> sladdes. </w:t>
      </w:r>
      <w:r w:rsidR="009866EC" w:rsidRPr="00E0186F">
        <w:rPr>
          <w:szCs w:val="24"/>
        </w:rPr>
        <w:t xml:space="preserve">Vi gjør oppmerksom på at det er viktig for </w:t>
      </w:r>
      <w:r w:rsidR="00E0186F">
        <w:rPr>
          <w:szCs w:val="24"/>
        </w:rPr>
        <w:t>mediene</w:t>
      </w:r>
      <w:r w:rsidR="009866EC" w:rsidRPr="00E0186F">
        <w:rPr>
          <w:szCs w:val="24"/>
        </w:rPr>
        <w:t xml:space="preserve"> å få vite hva slags type vitne som skal føres, for eksempel åstedsvitne, politibetjent, rettsmedisiner, familiemedlem, sakkyndig </w:t>
      </w:r>
      <w:r w:rsidR="00C61FCF" w:rsidRPr="00E0186F">
        <w:rPr>
          <w:szCs w:val="24"/>
        </w:rPr>
        <w:t>ol</w:t>
      </w:r>
      <w:r w:rsidR="009866EC" w:rsidRPr="00E0186F">
        <w:rPr>
          <w:szCs w:val="24"/>
        </w:rPr>
        <w:t xml:space="preserve">, for å planlegge dekningen av </w:t>
      </w:r>
      <w:r w:rsidR="00C61FCF" w:rsidRPr="00E0186F">
        <w:rPr>
          <w:szCs w:val="24"/>
        </w:rPr>
        <w:t>straffe</w:t>
      </w:r>
      <w:r w:rsidR="009866EC" w:rsidRPr="00E0186F">
        <w:rPr>
          <w:szCs w:val="24"/>
        </w:rPr>
        <w:t>saken. Vi vil derfor gjerne at dette fremgår av bevisoppgaven</w:t>
      </w:r>
      <w:r w:rsidR="00BC155E" w:rsidRPr="00E0186F">
        <w:rPr>
          <w:szCs w:val="24"/>
        </w:rPr>
        <w:t>,</w:t>
      </w:r>
      <w:r w:rsidR="009866EC" w:rsidRPr="00E0186F">
        <w:rPr>
          <w:szCs w:val="24"/>
        </w:rPr>
        <w:t xml:space="preserve"> og at denne informasjonen er tilgjengelig for pressen og ikke sladdes. </w:t>
      </w:r>
    </w:p>
    <w:p w:rsidR="00562A57" w:rsidRPr="00E0186F" w:rsidRDefault="00562A57" w:rsidP="00D354B2">
      <w:pPr>
        <w:rPr>
          <w:b/>
          <w:szCs w:val="24"/>
        </w:rPr>
      </w:pPr>
    </w:p>
    <w:p w:rsidR="00562A57" w:rsidRPr="00E0186F" w:rsidRDefault="00562A57" w:rsidP="00D354B2">
      <w:pPr>
        <w:rPr>
          <w:b/>
          <w:szCs w:val="24"/>
        </w:rPr>
      </w:pPr>
    </w:p>
    <w:p w:rsidR="00C230CE" w:rsidRPr="007C57F3" w:rsidRDefault="007C57F3" w:rsidP="007C57F3">
      <w:pPr>
        <w:pStyle w:val="Listeavsnitt"/>
        <w:ind w:left="0"/>
        <w:rPr>
          <w:rFonts w:ascii="Times New Roman" w:hAnsi="Times New Roman"/>
          <w:b/>
          <w:sz w:val="24"/>
          <w:szCs w:val="24"/>
        </w:rPr>
      </w:pPr>
      <w:r w:rsidRPr="007C57F3">
        <w:rPr>
          <w:rFonts w:ascii="Times New Roman" w:hAnsi="Times New Roman"/>
          <w:b/>
          <w:sz w:val="24"/>
          <w:szCs w:val="24"/>
        </w:rPr>
        <w:t xml:space="preserve">8. </w:t>
      </w:r>
      <w:r w:rsidR="00C230CE" w:rsidRPr="007C57F3">
        <w:rPr>
          <w:rFonts w:ascii="Times New Roman" w:hAnsi="Times New Roman"/>
          <w:b/>
          <w:sz w:val="24"/>
          <w:szCs w:val="24"/>
        </w:rPr>
        <w:t>Innsyn for pressen under hovedforhandlingen</w:t>
      </w:r>
    </w:p>
    <w:p w:rsidR="00C230CE" w:rsidRPr="00E0186F" w:rsidRDefault="00C230CE" w:rsidP="00C230CE">
      <w:pPr>
        <w:rPr>
          <w:szCs w:val="24"/>
        </w:rPr>
      </w:pPr>
      <w:r w:rsidRPr="00E0186F">
        <w:rPr>
          <w:szCs w:val="24"/>
        </w:rPr>
        <w:t>Det er positivt at retning</w:t>
      </w:r>
      <w:r w:rsidR="00E0186F" w:rsidRPr="00E0186F">
        <w:rPr>
          <w:szCs w:val="24"/>
        </w:rPr>
        <w:t>slinjene legger opp til at mediene</w:t>
      </w:r>
      <w:r w:rsidRPr="00E0186F">
        <w:rPr>
          <w:szCs w:val="24"/>
        </w:rPr>
        <w:t xml:space="preserve"> skal få tilgang til bevis som legges frem for retten slik at journalistene kan videreformidle saken basert på korrekt informasjon. Det er ønskelig at d</w:t>
      </w:r>
      <w:r w:rsidR="00E0186F" w:rsidRPr="00E0186F">
        <w:rPr>
          <w:szCs w:val="24"/>
        </w:rPr>
        <w:t>et presiseres nærmere at mediene</w:t>
      </w:r>
      <w:r w:rsidRPr="00E0186F">
        <w:rPr>
          <w:szCs w:val="24"/>
        </w:rPr>
        <w:t xml:space="preserve"> også bør få låne utskrifter av kommunikasjonskontroll som spilles av i rettsalen, utskrifter av dialoger på telefon, tekstmeldinger eller ulike chattetjenester, og utskrifter fra for eksempel lydopptak fra samtaler mellom polititjenestemenn og mistenkte/siktede. Målet er at journalistene i størst mulig grad skal kunne følge med på det som spilles av for retten, og at man unngå</w:t>
      </w:r>
      <w:r w:rsidR="00FE2D49" w:rsidRPr="00E0186F">
        <w:rPr>
          <w:szCs w:val="24"/>
        </w:rPr>
        <w:t>r</w:t>
      </w:r>
      <w:r w:rsidRPr="00E0186F">
        <w:rPr>
          <w:szCs w:val="24"/>
        </w:rPr>
        <w:t xml:space="preserve"> å gjengi innholdet feilaktig.</w:t>
      </w:r>
    </w:p>
    <w:p w:rsidR="00C61FCF" w:rsidRPr="00E0186F" w:rsidRDefault="00C61FCF" w:rsidP="00C230CE">
      <w:pPr>
        <w:rPr>
          <w:szCs w:val="24"/>
        </w:rPr>
      </w:pPr>
    </w:p>
    <w:p w:rsidR="00C230CE" w:rsidRPr="00E0186F" w:rsidRDefault="00C230CE" w:rsidP="00C230CE">
      <w:pPr>
        <w:rPr>
          <w:szCs w:val="24"/>
        </w:rPr>
      </w:pPr>
      <w:r w:rsidRPr="00E0186F">
        <w:rPr>
          <w:szCs w:val="24"/>
        </w:rPr>
        <w:t>Av samme grunn er det positivt at retningslinjene uttrykker at billedmateriale som ikke vises på storskjerm</w:t>
      </w:r>
      <w:r w:rsidR="00E340BA">
        <w:rPr>
          <w:szCs w:val="24"/>
        </w:rPr>
        <w:t>, bør lånes ut til mediene</w:t>
      </w:r>
      <w:r w:rsidRPr="00E0186F">
        <w:rPr>
          <w:szCs w:val="24"/>
        </w:rPr>
        <w:t>.</w:t>
      </w:r>
      <w:r w:rsidR="004A4AB5" w:rsidRPr="00E0186F">
        <w:rPr>
          <w:szCs w:val="24"/>
        </w:rPr>
        <w:t xml:space="preserve"> Det er også helt sentralt for at mediene skal kunne utøve sin kontrollfunksjon at de i størst mulig grad får tilgang på samme bevismateriale som det retten får. </w:t>
      </w:r>
    </w:p>
    <w:p w:rsidR="00C230CE" w:rsidRPr="00E0186F" w:rsidRDefault="00C230CE" w:rsidP="00C230CE">
      <w:pPr>
        <w:rPr>
          <w:szCs w:val="24"/>
        </w:rPr>
      </w:pPr>
    </w:p>
    <w:p w:rsidR="007C57F3" w:rsidRPr="00E0186F" w:rsidRDefault="00E340BA" w:rsidP="00C230CE">
      <w:pPr>
        <w:rPr>
          <w:szCs w:val="24"/>
          <w:highlight w:val="yellow"/>
        </w:rPr>
      </w:pPr>
      <w:r>
        <w:rPr>
          <w:szCs w:val="24"/>
        </w:rPr>
        <w:t>Når det gjelder mediene</w:t>
      </w:r>
      <w:r w:rsidR="00FE0D0F" w:rsidRPr="00E0186F">
        <w:rPr>
          <w:szCs w:val="24"/>
        </w:rPr>
        <w:t>s rett til å få kopi av bilde- og videobevis, er det ønskelig om rundskrivet kan gå noe lengre</w:t>
      </w:r>
      <w:r w:rsidR="00E0186F" w:rsidRPr="00E0186F">
        <w:rPr>
          <w:szCs w:val="24"/>
        </w:rPr>
        <w:t xml:space="preserve"> enn foreslått</w:t>
      </w:r>
      <w:r w:rsidR="00333FE9" w:rsidRPr="00E0186F">
        <w:rPr>
          <w:szCs w:val="24"/>
        </w:rPr>
        <w:t xml:space="preserve">. Det bes om at det </w:t>
      </w:r>
      <w:r w:rsidR="00FE0D0F" w:rsidRPr="00E0186F">
        <w:rPr>
          <w:szCs w:val="24"/>
        </w:rPr>
        <w:t xml:space="preserve">uttales at aktor bør legge til rette at pressen får kopi av bilder og videomateriale </w:t>
      </w:r>
      <w:r w:rsidR="001C2DF6" w:rsidRPr="00E0186F">
        <w:rPr>
          <w:szCs w:val="24"/>
        </w:rPr>
        <w:t xml:space="preserve">som </w:t>
      </w:r>
      <w:r w:rsidR="008853B1" w:rsidRPr="00E0186F">
        <w:rPr>
          <w:szCs w:val="24"/>
        </w:rPr>
        <w:t>viser faktiske hendelser</w:t>
      </w:r>
      <w:r w:rsidR="001C2DF6" w:rsidRPr="00E0186F">
        <w:rPr>
          <w:szCs w:val="24"/>
        </w:rPr>
        <w:t xml:space="preserve"> når bevisene spilles av for retten</w:t>
      </w:r>
      <w:r w:rsidR="00EA2174" w:rsidRPr="00E0186F">
        <w:rPr>
          <w:szCs w:val="24"/>
        </w:rPr>
        <w:t xml:space="preserve">, og at kravet om «særlige grunner» i påtaleinstruksen § 16-5 i utgangspunktet anses oppfylt dersom det er snakk om en journalist som ber om </w:t>
      </w:r>
      <w:r w:rsidR="00E43AB1" w:rsidRPr="00E0186F">
        <w:rPr>
          <w:szCs w:val="24"/>
        </w:rPr>
        <w:t>å få låne dokum</w:t>
      </w:r>
      <w:r w:rsidR="000E70B4">
        <w:rPr>
          <w:szCs w:val="24"/>
        </w:rPr>
        <w:t>e</w:t>
      </w:r>
      <w:r w:rsidR="00E43AB1" w:rsidRPr="00E0186F">
        <w:rPr>
          <w:szCs w:val="24"/>
        </w:rPr>
        <w:t>ntbevis i en sak hvor vedkommende dekker hovedforhandlingen.</w:t>
      </w:r>
    </w:p>
    <w:p w:rsidR="00C61FCF" w:rsidRPr="002043E8" w:rsidRDefault="00C61FCF" w:rsidP="00C230CE">
      <w:pPr>
        <w:rPr>
          <w:szCs w:val="24"/>
        </w:rPr>
      </w:pPr>
    </w:p>
    <w:p w:rsidR="008853B1" w:rsidRPr="002043E8" w:rsidRDefault="008853B1" w:rsidP="00C230CE">
      <w:pPr>
        <w:rPr>
          <w:szCs w:val="24"/>
        </w:rPr>
      </w:pPr>
    </w:p>
    <w:p w:rsidR="007D7516" w:rsidRPr="00E0186F" w:rsidRDefault="007C57F3" w:rsidP="007C57F3">
      <w:pPr>
        <w:pStyle w:val="Listeavsnitt"/>
        <w:ind w:left="0"/>
        <w:rPr>
          <w:rFonts w:ascii="Times New Roman" w:hAnsi="Times New Roman"/>
          <w:b/>
          <w:sz w:val="24"/>
          <w:szCs w:val="24"/>
        </w:rPr>
      </w:pPr>
      <w:r w:rsidRPr="007C57F3">
        <w:rPr>
          <w:rFonts w:ascii="Times New Roman" w:hAnsi="Times New Roman"/>
          <w:b/>
          <w:sz w:val="24"/>
          <w:szCs w:val="24"/>
        </w:rPr>
        <w:t xml:space="preserve">9. </w:t>
      </w:r>
      <w:r w:rsidR="007D7516" w:rsidRPr="00E0186F">
        <w:rPr>
          <w:rFonts w:ascii="Times New Roman" w:hAnsi="Times New Roman"/>
          <w:b/>
          <w:sz w:val="24"/>
          <w:szCs w:val="24"/>
        </w:rPr>
        <w:t>EMK artikkel 10 mv. (utkastets punkt 6.9)</w:t>
      </w:r>
    </w:p>
    <w:p w:rsidR="005E3D24" w:rsidRPr="00E0186F" w:rsidRDefault="005E3D24" w:rsidP="005E3D24">
      <w:pPr>
        <w:rPr>
          <w:szCs w:val="24"/>
        </w:rPr>
      </w:pPr>
      <w:r w:rsidRPr="00E0186F">
        <w:rPr>
          <w:szCs w:val="24"/>
        </w:rPr>
        <w:t>Det er positivt a</w:t>
      </w:r>
      <w:r w:rsidR="00715E67">
        <w:rPr>
          <w:szCs w:val="24"/>
        </w:rPr>
        <w:t>t retningslinjene omfatter mediene</w:t>
      </w:r>
      <w:r w:rsidRPr="00E0186F">
        <w:rPr>
          <w:szCs w:val="24"/>
        </w:rPr>
        <w:t xml:space="preserve">s innsynsrett etter EMK art. 10. Riksadvokaten har imidlertid etter vårt syn lagt en altfor snever ramme for når art. 10 får anvendelse basert på rettspraksis fra EMD og Høyesterett. </w:t>
      </w:r>
    </w:p>
    <w:p w:rsidR="00933A6E" w:rsidRPr="00E0186F" w:rsidRDefault="00933A6E" w:rsidP="005E3D24">
      <w:pPr>
        <w:rPr>
          <w:szCs w:val="24"/>
        </w:rPr>
      </w:pPr>
    </w:p>
    <w:p w:rsidR="00710CB8" w:rsidRPr="00E0186F" w:rsidRDefault="005E3D24" w:rsidP="005E3D24">
      <w:pPr>
        <w:rPr>
          <w:szCs w:val="24"/>
        </w:rPr>
      </w:pPr>
      <w:r w:rsidRPr="00E0186F">
        <w:rPr>
          <w:szCs w:val="24"/>
        </w:rPr>
        <w:t>Riksadvokaten legger til grunn at Høyesteretts avgjørelse om innsyn i lydbåndopptakene i Rt. 2013 s. 374 (Treholt</w:t>
      </w:r>
      <w:r w:rsidR="001242DE" w:rsidRPr="00E0186F">
        <w:rPr>
          <w:szCs w:val="24"/>
        </w:rPr>
        <w:t>lydbånd</w:t>
      </w:r>
      <w:r w:rsidRPr="00E0186F">
        <w:rPr>
          <w:szCs w:val="24"/>
        </w:rPr>
        <w:t>saken) ikke gjaldt straffesaksdokumenter</w:t>
      </w:r>
      <w:r w:rsidR="00EF229D" w:rsidRPr="00E0186F">
        <w:rPr>
          <w:szCs w:val="24"/>
        </w:rPr>
        <w:t xml:space="preserve"> etter EMK artikkel 10</w:t>
      </w:r>
      <w:r w:rsidRPr="00E0186F">
        <w:rPr>
          <w:szCs w:val="24"/>
        </w:rPr>
        <w:t xml:space="preserve">. Det </w:t>
      </w:r>
      <w:r w:rsidR="00EF229D" w:rsidRPr="00E0186F">
        <w:rPr>
          <w:szCs w:val="24"/>
        </w:rPr>
        <w:t>blir</w:t>
      </w:r>
      <w:r w:rsidRPr="00E0186F">
        <w:rPr>
          <w:szCs w:val="24"/>
        </w:rPr>
        <w:t xml:space="preserve"> feil. Høyesterett la allerede i Rt. 2006 s. 518 til grunn at lydbåndopptakene var å anse som straffesaksdokumenter i straffeprosesslovens forstand. </w:t>
      </w:r>
      <w:r w:rsidR="00710CB8" w:rsidRPr="00E0186F">
        <w:rPr>
          <w:szCs w:val="24"/>
        </w:rPr>
        <w:t>Det Høyesterett påpekte i Rt</w:t>
      </w:r>
      <w:r w:rsidR="00394002" w:rsidRPr="00E0186F">
        <w:rPr>
          <w:szCs w:val="24"/>
        </w:rPr>
        <w:t xml:space="preserve">. </w:t>
      </w:r>
      <w:r w:rsidR="00710CB8" w:rsidRPr="00E0186F">
        <w:rPr>
          <w:szCs w:val="24"/>
        </w:rPr>
        <w:t>2013</w:t>
      </w:r>
      <w:r w:rsidR="00394002" w:rsidRPr="00E0186F">
        <w:rPr>
          <w:szCs w:val="24"/>
        </w:rPr>
        <w:t xml:space="preserve"> s.</w:t>
      </w:r>
      <w:r w:rsidR="00710CB8" w:rsidRPr="00E0186F">
        <w:rPr>
          <w:szCs w:val="24"/>
        </w:rPr>
        <w:t xml:space="preserve">374 </w:t>
      </w:r>
      <w:r w:rsidR="00EF229D" w:rsidRPr="00E0186F">
        <w:rPr>
          <w:szCs w:val="24"/>
        </w:rPr>
        <w:t xml:space="preserve">var </w:t>
      </w:r>
      <w:r w:rsidR="00710CB8" w:rsidRPr="00E0186F">
        <w:rPr>
          <w:szCs w:val="24"/>
        </w:rPr>
        <w:t>bare at saken ikke gjaldt innsyn etter straffeprosessloven, men innsyn etter EMK artikkel 10</w:t>
      </w:r>
      <w:r w:rsidR="00394002" w:rsidRPr="00E0186F">
        <w:rPr>
          <w:szCs w:val="24"/>
        </w:rPr>
        <w:t>.</w:t>
      </w:r>
    </w:p>
    <w:p w:rsidR="00453DAA" w:rsidRPr="00A85C13" w:rsidRDefault="00453DAA" w:rsidP="005E3D24">
      <w:pPr>
        <w:rPr>
          <w:szCs w:val="24"/>
        </w:rPr>
      </w:pPr>
    </w:p>
    <w:p w:rsidR="005E3D24" w:rsidRPr="00607110" w:rsidRDefault="005E3D24" w:rsidP="005E3D24">
      <w:pPr>
        <w:rPr>
          <w:szCs w:val="24"/>
        </w:rPr>
      </w:pPr>
      <w:r w:rsidRPr="00607110">
        <w:rPr>
          <w:szCs w:val="24"/>
        </w:rPr>
        <w:t>Ved redegjørelsen for Treholt</w:t>
      </w:r>
      <w:r w:rsidR="001242DE" w:rsidRPr="00607110">
        <w:rPr>
          <w:szCs w:val="24"/>
        </w:rPr>
        <w:t>lydbånd</w:t>
      </w:r>
      <w:r w:rsidRPr="00607110">
        <w:rPr>
          <w:szCs w:val="24"/>
        </w:rPr>
        <w:t>saken er det også vesentlig å merke seg at Høyesterett etter gjennomgang av EMD-praksis uttalte i avsnitt 44 at:</w:t>
      </w:r>
    </w:p>
    <w:p w:rsidR="002E491C" w:rsidRPr="00607110" w:rsidRDefault="002E491C" w:rsidP="005E3D24">
      <w:pPr>
        <w:rPr>
          <w:szCs w:val="24"/>
        </w:rPr>
      </w:pPr>
    </w:p>
    <w:p w:rsidR="005E3D24" w:rsidRPr="00607110" w:rsidRDefault="00235B7B" w:rsidP="00453DAA">
      <w:pPr>
        <w:ind w:left="708"/>
        <w:rPr>
          <w:i/>
          <w:szCs w:val="24"/>
        </w:rPr>
      </w:pPr>
      <w:r>
        <w:rPr>
          <w:i/>
          <w:szCs w:val="24"/>
        </w:rPr>
        <w:t>«</w:t>
      </w:r>
      <w:r w:rsidR="005E3D24" w:rsidRPr="00607110">
        <w:rPr>
          <w:i/>
          <w:szCs w:val="24"/>
        </w:rPr>
        <w:t xml:space="preserve">De avgjørelsene jeg har gjennomgått, viser at artikkel 10 i hvert fall er gitt anvendelse der </w:t>
      </w:r>
      <w:r w:rsidR="005E3D24" w:rsidRPr="00607110">
        <w:rPr>
          <w:i/>
          <w:szCs w:val="24"/>
          <w:u w:val="single"/>
        </w:rPr>
        <w:t>pressen</w:t>
      </w:r>
      <w:r w:rsidR="005E3D24" w:rsidRPr="00607110">
        <w:rPr>
          <w:i/>
          <w:szCs w:val="24"/>
        </w:rPr>
        <w:t xml:space="preserve"> ber om innsyn i saker av </w:t>
      </w:r>
      <w:r w:rsidR="005E3D24" w:rsidRPr="00607110">
        <w:rPr>
          <w:i/>
          <w:szCs w:val="24"/>
          <w:u w:val="single"/>
        </w:rPr>
        <w:t>legitim allmenn interesse</w:t>
      </w:r>
      <w:r w:rsidR="005E3D24" w:rsidRPr="00607110">
        <w:rPr>
          <w:i/>
          <w:szCs w:val="24"/>
        </w:rPr>
        <w:t xml:space="preserve">, forutsatt at det er tale om innsyn i opplysninger som allerede </w:t>
      </w:r>
      <w:r w:rsidR="005E3D24" w:rsidRPr="00607110">
        <w:rPr>
          <w:i/>
          <w:szCs w:val="24"/>
          <w:u w:val="single"/>
        </w:rPr>
        <w:t>fo</w:t>
      </w:r>
      <w:r w:rsidR="002E491C" w:rsidRPr="00607110">
        <w:rPr>
          <w:i/>
          <w:szCs w:val="24"/>
          <w:u w:val="single"/>
        </w:rPr>
        <w:t>religger</w:t>
      </w:r>
      <w:r w:rsidR="002E491C" w:rsidRPr="00607110">
        <w:rPr>
          <w:i/>
          <w:szCs w:val="24"/>
        </w:rPr>
        <w:t xml:space="preserve"> [</w:t>
      </w:r>
      <w:r w:rsidR="001C2DF6" w:rsidRPr="00607110">
        <w:rPr>
          <w:i/>
          <w:szCs w:val="24"/>
        </w:rPr>
        <w:t>våre understrekninger]</w:t>
      </w:r>
      <w:r>
        <w:rPr>
          <w:i/>
          <w:szCs w:val="24"/>
        </w:rPr>
        <w:t>.»</w:t>
      </w:r>
    </w:p>
    <w:p w:rsidR="001242DE" w:rsidRPr="00607110" w:rsidRDefault="001242DE" w:rsidP="005E3D24">
      <w:pPr>
        <w:rPr>
          <w:szCs w:val="24"/>
        </w:rPr>
      </w:pPr>
    </w:p>
    <w:p w:rsidR="001242DE" w:rsidRPr="00607110" w:rsidRDefault="005E3D24" w:rsidP="005E3D24">
      <w:pPr>
        <w:rPr>
          <w:szCs w:val="24"/>
        </w:rPr>
      </w:pPr>
      <w:r w:rsidRPr="00607110">
        <w:rPr>
          <w:szCs w:val="24"/>
        </w:rPr>
        <w:t xml:space="preserve">Dette er </w:t>
      </w:r>
      <w:r w:rsidR="00CB3731" w:rsidRPr="00607110">
        <w:rPr>
          <w:szCs w:val="24"/>
        </w:rPr>
        <w:t xml:space="preserve">som kjent </w:t>
      </w:r>
      <w:r w:rsidRPr="00607110">
        <w:rPr>
          <w:szCs w:val="24"/>
        </w:rPr>
        <w:t xml:space="preserve">ytterligere stadfestet ved flere avgjørelser fra EMD avsagt etter Høyesteretts kjennelse, </w:t>
      </w:r>
      <w:r w:rsidR="00394002" w:rsidRPr="00607110">
        <w:rPr>
          <w:szCs w:val="24"/>
        </w:rPr>
        <w:t xml:space="preserve">gjengitt i </w:t>
      </w:r>
      <w:r w:rsidR="001242DE" w:rsidRPr="00607110">
        <w:rPr>
          <w:szCs w:val="24"/>
        </w:rPr>
        <w:t>Høyesteretts avgjørelse i Rt</w:t>
      </w:r>
      <w:r w:rsidR="00394002" w:rsidRPr="00607110">
        <w:rPr>
          <w:szCs w:val="24"/>
        </w:rPr>
        <w:t>.</w:t>
      </w:r>
      <w:r w:rsidR="001242DE" w:rsidRPr="00607110">
        <w:rPr>
          <w:szCs w:val="24"/>
        </w:rPr>
        <w:t>2015</w:t>
      </w:r>
      <w:r w:rsidR="00394002" w:rsidRPr="00607110">
        <w:rPr>
          <w:szCs w:val="24"/>
        </w:rPr>
        <w:t xml:space="preserve"> s.</w:t>
      </w:r>
      <w:r w:rsidR="001242DE" w:rsidRPr="00607110">
        <w:rPr>
          <w:szCs w:val="24"/>
        </w:rPr>
        <w:t xml:space="preserve">1467 (Legevaktsaken) og nå senest </w:t>
      </w:r>
      <w:r w:rsidR="00CB3731" w:rsidRPr="00607110">
        <w:rPr>
          <w:szCs w:val="24"/>
        </w:rPr>
        <w:t>ved</w:t>
      </w:r>
      <w:r w:rsidR="001242DE" w:rsidRPr="00607110">
        <w:rPr>
          <w:szCs w:val="24"/>
        </w:rPr>
        <w:t xml:space="preserve"> storkammeravgjørelsen Magyar mot Ungarn</w:t>
      </w:r>
      <w:r w:rsidR="00394002" w:rsidRPr="00607110">
        <w:rPr>
          <w:szCs w:val="24"/>
        </w:rPr>
        <w:t xml:space="preserve"> (8.11.16)</w:t>
      </w:r>
      <w:r w:rsidR="001242DE" w:rsidRPr="00607110">
        <w:rPr>
          <w:szCs w:val="24"/>
        </w:rPr>
        <w:t xml:space="preserve">. </w:t>
      </w:r>
    </w:p>
    <w:p w:rsidR="005E3D24" w:rsidRPr="00607110" w:rsidRDefault="005E3D24" w:rsidP="005E3D24">
      <w:pPr>
        <w:rPr>
          <w:szCs w:val="24"/>
        </w:rPr>
      </w:pPr>
      <w:r w:rsidRPr="00607110">
        <w:rPr>
          <w:szCs w:val="24"/>
        </w:rPr>
        <w:t xml:space="preserve"> </w:t>
      </w:r>
    </w:p>
    <w:p w:rsidR="001C2DF6" w:rsidRPr="00607110" w:rsidRDefault="005E3D24" w:rsidP="001C2DF6">
      <w:pPr>
        <w:rPr>
          <w:szCs w:val="24"/>
        </w:rPr>
      </w:pPr>
      <w:r w:rsidRPr="00607110">
        <w:rPr>
          <w:szCs w:val="24"/>
        </w:rPr>
        <w:t xml:space="preserve">Det fremgår også av praksis fra EMD og FNs menneskerettskomité at man ikke skiller mellom ulike typer saker eller dokumenter når man vurderer anvendelsen av EMK art 10, jfr. blant annet Youth Initiative </w:t>
      </w:r>
      <w:r w:rsidR="00A56539" w:rsidRPr="00607110">
        <w:rPr>
          <w:szCs w:val="24"/>
        </w:rPr>
        <w:t>v.</w:t>
      </w:r>
      <w:r w:rsidRPr="00607110">
        <w:rPr>
          <w:szCs w:val="24"/>
        </w:rPr>
        <w:t xml:space="preserve"> Serbia (25.06.13) og General Comment nr. 34 § 18. Dette prinsippet er også gjengitt i Legevaktsaken i avsnitt 67.</w:t>
      </w:r>
      <w:r w:rsidR="001C2DF6" w:rsidRPr="00607110">
        <w:rPr>
          <w:szCs w:val="24"/>
        </w:rPr>
        <w:t xml:space="preserve"> </w:t>
      </w:r>
    </w:p>
    <w:p w:rsidR="001C2DF6" w:rsidRPr="00607110" w:rsidRDefault="001C2DF6" w:rsidP="001C2DF6">
      <w:pPr>
        <w:rPr>
          <w:szCs w:val="24"/>
        </w:rPr>
      </w:pPr>
    </w:p>
    <w:p w:rsidR="001C2DF6" w:rsidRPr="00607110" w:rsidRDefault="001C2DF6" w:rsidP="001C2DF6">
      <w:pPr>
        <w:rPr>
          <w:szCs w:val="24"/>
        </w:rPr>
      </w:pPr>
      <w:r w:rsidRPr="00607110">
        <w:rPr>
          <w:szCs w:val="24"/>
        </w:rPr>
        <w:t xml:space="preserve">EMD har lagt til grunn at art. 10 regulerer innsyn i et bredt spekter av dokumenter, </w:t>
      </w:r>
      <w:r w:rsidR="00A56539" w:rsidRPr="00607110">
        <w:rPr>
          <w:szCs w:val="24"/>
        </w:rPr>
        <w:t xml:space="preserve">i </w:t>
      </w:r>
      <w:r w:rsidRPr="00607110">
        <w:rPr>
          <w:szCs w:val="24"/>
        </w:rPr>
        <w:t>alt fra statshemmeligheter (Kenedi v. Ungarn</w:t>
      </w:r>
      <w:r w:rsidR="00A56539" w:rsidRPr="00607110">
        <w:rPr>
          <w:szCs w:val="24"/>
        </w:rPr>
        <w:t xml:space="preserve"> 26.08.09</w:t>
      </w:r>
      <w:r w:rsidRPr="00607110">
        <w:rPr>
          <w:szCs w:val="24"/>
        </w:rPr>
        <w:t>), hemmeligstemplede dokumenter (Youth Initiative v. Serbia</w:t>
      </w:r>
      <w:r w:rsidR="00A56539" w:rsidRPr="00607110">
        <w:rPr>
          <w:szCs w:val="24"/>
        </w:rPr>
        <w:t>)</w:t>
      </w:r>
      <w:r w:rsidRPr="00607110">
        <w:rPr>
          <w:szCs w:val="24"/>
        </w:rPr>
        <w:t xml:space="preserve"> og taushetsbelagte</w:t>
      </w:r>
      <w:r w:rsidR="00A56539" w:rsidRPr="00607110">
        <w:rPr>
          <w:szCs w:val="24"/>
        </w:rPr>
        <w:t xml:space="preserve"> opplysninger</w:t>
      </w:r>
      <w:r w:rsidRPr="00607110">
        <w:rPr>
          <w:szCs w:val="24"/>
        </w:rPr>
        <w:t>/forretningshemmeligheter (Matky v. Tsjekkia</w:t>
      </w:r>
      <w:r w:rsidR="00A56539" w:rsidRPr="00607110">
        <w:rPr>
          <w:szCs w:val="24"/>
        </w:rPr>
        <w:t xml:space="preserve"> 10.07.06</w:t>
      </w:r>
      <w:r w:rsidRPr="00607110">
        <w:rPr>
          <w:szCs w:val="24"/>
        </w:rPr>
        <w:t>). Det er derfor ingen grunn til at akkurat straffesaksdokumenter skal være et område der art. 10 i</w:t>
      </w:r>
      <w:r w:rsidR="00ED2607" w:rsidRPr="00607110">
        <w:rPr>
          <w:szCs w:val="24"/>
        </w:rPr>
        <w:t xml:space="preserve">kke gir pressen en innsynsrett. </w:t>
      </w:r>
      <w:r w:rsidRPr="00607110">
        <w:rPr>
          <w:szCs w:val="24"/>
        </w:rPr>
        <w:t xml:space="preserve">Tvert imot er strafferettspleien et rettsområde der pressen har en særskilt viktig kontrollfunksjon, noe som også er lagt til grunn gjennom praksis fra EMD i blant annet Dupois v. Frankrike (27.06.2007), A.B v Sveits (01.07.2014) og Ressiot v. Frankrike (28.06.2012). </w:t>
      </w:r>
    </w:p>
    <w:p w:rsidR="005E3D24" w:rsidRPr="00607110" w:rsidRDefault="005E3D24" w:rsidP="005E3D24">
      <w:pPr>
        <w:rPr>
          <w:szCs w:val="24"/>
        </w:rPr>
      </w:pPr>
    </w:p>
    <w:p w:rsidR="00840F6E" w:rsidRPr="00607110" w:rsidRDefault="005E3D24" w:rsidP="005E3D24">
      <w:pPr>
        <w:rPr>
          <w:szCs w:val="24"/>
        </w:rPr>
      </w:pPr>
      <w:r w:rsidRPr="00607110">
        <w:rPr>
          <w:szCs w:val="24"/>
        </w:rPr>
        <w:t>Storkammeravgjørelse</w:t>
      </w:r>
      <w:r w:rsidR="000E70B4">
        <w:rPr>
          <w:szCs w:val="24"/>
        </w:rPr>
        <w:t>n</w:t>
      </w:r>
      <w:r w:rsidRPr="00607110">
        <w:rPr>
          <w:szCs w:val="24"/>
        </w:rPr>
        <w:t xml:space="preserve"> </w:t>
      </w:r>
      <w:proofErr w:type="spellStart"/>
      <w:r w:rsidRPr="00607110">
        <w:rPr>
          <w:szCs w:val="24"/>
        </w:rPr>
        <w:t>Magyar</w:t>
      </w:r>
      <w:proofErr w:type="spellEnd"/>
      <w:r w:rsidRPr="00607110">
        <w:rPr>
          <w:szCs w:val="24"/>
        </w:rPr>
        <w:t xml:space="preserve"> </w:t>
      </w:r>
      <w:r w:rsidR="000A2467" w:rsidRPr="00607110">
        <w:rPr>
          <w:szCs w:val="24"/>
        </w:rPr>
        <w:t xml:space="preserve">mot </w:t>
      </w:r>
      <w:r w:rsidRPr="00607110">
        <w:rPr>
          <w:szCs w:val="24"/>
        </w:rPr>
        <w:t>Ungarn stadfester at EMK art. 10</w:t>
      </w:r>
      <w:r w:rsidR="00AD3BE0" w:rsidRPr="00607110">
        <w:rPr>
          <w:szCs w:val="24"/>
        </w:rPr>
        <w:t xml:space="preserve"> får anvendelse dersom pressen ber om innsyn i saker av allmenn interesse og opplysningene foreligger. Dette er </w:t>
      </w:r>
      <w:r w:rsidR="00CB3731" w:rsidRPr="00607110">
        <w:rPr>
          <w:szCs w:val="24"/>
        </w:rPr>
        <w:t xml:space="preserve">i avgjørelsen </w:t>
      </w:r>
      <w:r w:rsidR="004F7A2D">
        <w:rPr>
          <w:szCs w:val="24"/>
        </w:rPr>
        <w:t>oppstilt som fire</w:t>
      </w:r>
      <w:r w:rsidR="00AD3BE0" w:rsidRPr="00607110">
        <w:rPr>
          <w:szCs w:val="24"/>
        </w:rPr>
        <w:t xml:space="preserve"> kriterier: formålet med innsyns</w:t>
      </w:r>
      <w:r w:rsidR="00E340BA">
        <w:rPr>
          <w:szCs w:val="24"/>
        </w:rPr>
        <w:t>kravet</w:t>
      </w:r>
      <w:r w:rsidR="00AD3BE0" w:rsidRPr="00607110">
        <w:rPr>
          <w:szCs w:val="24"/>
        </w:rPr>
        <w:t xml:space="preserve">, rollen til den som ber om informasjonen, om </w:t>
      </w:r>
      <w:r w:rsidR="007B7DAC" w:rsidRPr="00607110">
        <w:rPr>
          <w:szCs w:val="24"/>
        </w:rPr>
        <w:t xml:space="preserve">informasjonen har allmenn </w:t>
      </w:r>
      <w:r w:rsidR="002B7E1B" w:rsidRPr="00607110">
        <w:rPr>
          <w:szCs w:val="24"/>
        </w:rPr>
        <w:t xml:space="preserve">interesse </w:t>
      </w:r>
      <w:r w:rsidR="007B7DAC" w:rsidRPr="00607110">
        <w:rPr>
          <w:szCs w:val="24"/>
        </w:rPr>
        <w:t>og om informasjonen er tilgjengelig. De to første kriteriene er alltid oppfylt når mediene ber om innsyn. Videre skal det ikke mye til før informasjonen etter EMD-praksis blir ansett for å ha allmenn interesse</w:t>
      </w:r>
      <w:r w:rsidR="002B7E1B" w:rsidRPr="00607110">
        <w:rPr>
          <w:szCs w:val="24"/>
        </w:rPr>
        <w:t>,</w:t>
      </w:r>
      <w:r w:rsidR="00840F6E" w:rsidRPr="00607110">
        <w:rPr>
          <w:szCs w:val="24"/>
        </w:rPr>
        <w:t xml:space="preserve"> og utgangspunktet må</w:t>
      </w:r>
      <w:r w:rsidR="00CB3731" w:rsidRPr="00607110">
        <w:rPr>
          <w:szCs w:val="24"/>
        </w:rPr>
        <w:t xml:space="preserve"> som nevnt</w:t>
      </w:r>
      <w:r w:rsidR="00840F6E" w:rsidRPr="00607110">
        <w:rPr>
          <w:szCs w:val="24"/>
        </w:rPr>
        <w:t xml:space="preserve"> være at når medi</w:t>
      </w:r>
      <w:r w:rsidR="00DD5520">
        <w:rPr>
          <w:szCs w:val="24"/>
        </w:rPr>
        <w:t>er</w:t>
      </w:r>
      <w:r w:rsidR="00840F6E" w:rsidRPr="00607110">
        <w:rPr>
          <w:szCs w:val="24"/>
        </w:rPr>
        <w:t xml:space="preserve"> ber om innsyn i straffesaker er kravet til allmenn</w:t>
      </w:r>
      <w:r w:rsidR="00CB3731" w:rsidRPr="00607110">
        <w:rPr>
          <w:szCs w:val="24"/>
        </w:rPr>
        <w:t xml:space="preserve"> </w:t>
      </w:r>
      <w:r w:rsidR="00840F6E" w:rsidRPr="00607110">
        <w:rPr>
          <w:szCs w:val="24"/>
        </w:rPr>
        <w:t>interesse oppfylt</w:t>
      </w:r>
      <w:r w:rsidR="007B7DAC" w:rsidRPr="00607110">
        <w:rPr>
          <w:szCs w:val="24"/>
        </w:rPr>
        <w:t xml:space="preserve">. Det vises her til redegjørelsen ovenfor under punkt </w:t>
      </w:r>
      <w:r w:rsidR="002B7E1B" w:rsidRPr="00607110">
        <w:rPr>
          <w:szCs w:val="24"/>
        </w:rPr>
        <w:t>4.</w:t>
      </w:r>
      <w:r w:rsidR="00840F6E" w:rsidRPr="00607110">
        <w:rPr>
          <w:szCs w:val="24"/>
        </w:rPr>
        <w:t xml:space="preserve"> </w:t>
      </w:r>
    </w:p>
    <w:p w:rsidR="00CB3731" w:rsidRPr="00607110" w:rsidRDefault="00CB3731" w:rsidP="005E3D24">
      <w:pPr>
        <w:rPr>
          <w:szCs w:val="24"/>
        </w:rPr>
      </w:pPr>
    </w:p>
    <w:p w:rsidR="00DF718E" w:rsidRPr="00607110" w:rsidRDefault="00840F6E" w:rsidP="005E3D24">
      <w:pPr>
        <w:rPr>
          <w:szCs w:val="24"/>
        </w:rPr>
      </w:pPr>
      <w:r w:rsidRPr="00607110">
        <w:rPr>
          <w:szCs w:val="24"/>
        </w:rPr>
        <w:t xml:space="preserve">Etter de kriteriene som er satt opp i storkammeravgjørelsen vil således </w:t>
      </w:r>
      <w:r w:rsidRPr="00607110">
        <w:rPr>
          <w:i/>
          <w:szCs w:val="24"/>
        </w:rPr>
        <w:t xml:space="preserve">hovedregelen </w:t>
      </w:r>
      <w:r w:rsidRPr="00607110">
        <w:rPr>
          <w:szCs w:val="24"/>
        </w:rPr>
        <w:t xml:space="preserve">for innsynskrav fra </w:t>
      </w:r>
      <w:r w:rsidR="00523B1A">
        <w:rPr>
          <w:i/>
          <w:szCs w:val="24"/>
        </w:rPr>
        <w:t>medier</w:t>
      </w:r>
      <w:r w:rsidRPr="00607110">
        <w:rPr>
          <w:szCs w:val="24"/>
        </w:rPr>
        <w:t xml:space="preserve"> være at artikkel 10 får </w:t>
      </w:r>
      <w:r w:rsidRPr="00607110">
        <w:rPr>
          <w:i/>
          <w:szCs w:val="24"/>
        </w:rPr>
        <w:t>anvendelse</w:t>
      </w:r>
      <w:r w:rsidRPr="00607110">
        <w:rPr>
          <w:szCs w:val="24"/>
        </w:rPr>
        <w:t xml:space="preserve">. </w:t>
      </w:r>
    </w:p>
    <w:p w:rsidR="00394002" w:rsidRPr="00607110" w:rsidRDefault="00394002" w:rsidP="005E3D24">
      <w:pPr>
        <w:rPr>
          <w:szCs w:val="24"/>
        </w:rPr>
      </w:pPr>
    </w:p>
    <w:p w:rsidR="005E3D24" w:rsidRPr="00607110" w:rsidRDefault="00DF718E" w:rsidP="005E3D24">
      <w:pPr>
        <w:rPr>
          <w:szCs w:val="24"/>
        </w:rPr>
      </w:pPr>
      <w:r w:rsidRPr="00607110">
        <w:rPr>
          <w:szCs w:val="24"/>
        </w:rPr>
        <w:t>Og s</w:t>
      </w:r>
      <w:r w:rsidR="005E3D24" w:rsidRPr="00607110">
        <w:rPr>
          <w:szCs w:val="24"/>
        </w:rPr>
        <w:t xml:space="preserve">elv om storkammeravgjørelsen ikke gjelder innsyn i straffesaksdokumenter som sådan, omhandler den innsyn i dokumenter hos påtalemyndigheten. Opplysningene i dokumentene gjaldt personopplysninger som etter de interne reglene ikke kunne gis ut uten lovhjemmel. Saken har således overføringsverdi til innsynssaker i straffesaksdokumenter med personopplysninger som kan være taushetsbelagte. </w:t>
      </w:r>
    </w:p>
    <w:p w:rsidR="00DF718E" w:rsidRPr="00607110" w:rsidRDefault="00DF718E" w:rsidP="005E3D24">
      <w:pPr>
        <w:rPr>
          <w:szCs w:val="24"/>
        </w:rPr>
      </w:pPr>
    </w:p>
    <w:p w:rsidR="008E62AA" w:rsidRPr="00607110" w:rsidRDefault="00B9310B" w:rsidP="005E3D24">
      <w:pPr>
        <w:rPr>
          <w:szCs w:val="24"/>
        </w:rPr>
      </w:pPr>
      <w:r w:rsidRPr="00607110">
        <w:rPr>
          <w:szCs w:val="24"/>
        </w:rPr>
        <w:t>Videre mener vi o</w:t>
      </w:r>
      <w:r w:rsidR="00E5725A" w:rsidRPr="00607110">
        <w:rPr>
          <w:szCs w:val="24"/>
        </w:rPr>
        <w:t xml:space="preserve">versettelsen av </w:t>
      </w:r>
      <w:r w:rsidR="00235B7B">
        <w:rPr>
          <w:szCs w:val="24"/>
        </w:rPr>
        <w:t>storkammeravgjørelsens bruk av «</w:t>
      </w:r>
      <w:r w:rsidR="00E5725A" w:rsidRPr="00607110">
        <w:rPr>
          <w:szCs w:val="24"/>
        </w:rPr>
        <w:t>instrumental</w:t>
      </w:r>
      <w:r w:rsidR="00235B7B">
        <w:rPr>
          <w:szCs w:val="24"/>
        </w:rPr>
        <w:t>»</w:t>
      </w:r>
      <w:r w:rsidR="00E5725A" w:rsidRPr="00607110">
        <w:rPr>
          <w:szCs w:val="24"/>
        </w:rPr>
        <w:t xml:space="preserve"> til </w:t>
      </w:r>
      <w:r w:rsidR="00235B7B">
        <w:rPr>
          <w:szCs w:val="24"/>
        </w:rPr>
        <w:t>«</w:t>
      </w:r>
      <w:r w:rsidR="00E5725A" w:rsidRPr="00607110">
        <w:rPr>
          <w:szCs w:val="24"/>
        </w:rPr>
        <w:t>vital</w:t>
      </w:r>
      <w:r w:rsidR="00235B7B">
        <w:rPr>
          <w:szCs w:val="24"/>
        </w:rPr>
        <w:t>»</w:t>
      </w:r>
      <w:r w:rsidR="00E5725A" w:rsidRPr="00607110">
        <w:rPr>
          <w:szCs w:val="24"/>
        </w:rPr>
        <w:t xml:space="preserve"> på side 22 i rundskrivet</w:t>
      </w:r>
      <w:r w:rsidRPr="00607110">
        <w:rPr>
          <w:szCs w:val="24"/>
        </w:rPr>
        <w:t xml:space="preserve"> </w:t>
      </w:r>
      <w:r w:rsidR="00235B7B">
        <w:rPr>
          <w:szCs w:val="24"/>
        </w:rPr>
        <w:t>blir feil. «</w:t>
      </w:r>
      <w:r w:rsidR="00C61FCF" w:rsidRPr="00607110">
        <w:rPr>
          <w:szCs w:val="24"/>
        </w:rPr>
        <w:t>Instrumental</w:t>
      </w:r>
      <w:r w:rsidR="00235B7B">
        <w:rPr>
          <w:szCs w:val="24"/>
        </w:rPr>
        <w:t>»</w:t>
      </w:r>
      <w:r w:rsidR="00E5725A" w:rsidRPr="00607110">
        <w:rPr>
          <w:szCs w:val="24"/>
        </w:rPr>
        <w:t xml:space="preserve"> handler om å </w:t>
      </w:r>
      <w:r w:rsidR="00235B7B">
        <w:rPr>
          <w:szCs w:val="24"/>
        </w:rPr>
        <w:t>«</w:t>
      </w:r>
      <w:r w:rsidR="00E5725A" w:rsidRPr="00607110">
        <w:rPr>
          <w:szCs w:val="24"/>
        </w:rPr>
        <w:t>ha betydning for/være et instrument for</w:t>
      </w:r>
      <w:r w:rsidR="00235B7B">
        <w:rPr>
          <w:szCs w:val="24"/>
        </w:rPr>
        <w:t>»</w:t>
      </w:r>
      <w:r w:rsidR="00E5725A" w:rsidRPr="00607110">
        <w:rPr>
          <w:szCs w:val="24"/>
        </w:rPr>
        <w:t xml:space="preserve"> – </w:t>
      </w:r>
      <w:r w:rsidRPr="00607110">
        <w:rPr>
          <w:szCs w:val="24"/>
        </w:rPr>
        <w:t xml:space="preserve">begrepet </w:t>
      </w:r>
      <w:r w:rsidR="00E5725A" w:rsidRPr="00607110">
        <w:rPr>
          <w:szCs w:val="24"/>
        </w:rPr>
        <w:t>medfører ingen kvalifisering av betyd</w:t>
      </w:r>
      <w:r w:rsidR="008E62AA" w:rsidRPr="00607110">
        <w:rPr>
          <w:szCs w:val="24"/>
        </w:rPr>
        <w:t>n</w:t>
      </w:r>
      <w:r w:rsidR="00E5725A" w:rsidRPr="00607110">
        <w:rPr>
          <w:szCs w:val="24"/>
        </w:rPr>
        <w:t>ingen sl</w:t>
      </w:r>
      <w:r w:rsidR="00235B7B">
        <w:rPr>
          <w:szCs w:val="24"/>
        </w:rPr>
        <w:t>ik det ligger i begrepet «vital»</w:t>
      </w:r>
      <w:r w:rsidR="00E5725A" w:rsidRPr="00607110">
        <w:rPr>
          <w:szCs w:val="24"/>
        </w:rPr>
        <w:t xml:space="preserve">. </w:t>
      </w:r>
    </w:p>
    <w:p w:rsidR="008E62AA" w:rsidRPr="00235B7B" w:rsidRDefault="008E62AA" w:rsidP="005E3D24">
      <w:pPr>
        <w:rPr>
          <w:szCs w:val="24"/>
        </w:rPr>
      </w:pPr>
    </w:p>
    <w:p w:rsidR="002B7E1B" w:rsidRPr="00607110" w:rsidRDefault="008E62AA" w:rsidP="002B7E1B">
      <w:pPr>
        <w:rPr>
          <w:szCs w:val="24"/>
        </w:rPr>
      </w:pPr>
      <w:r w:rsidRPr="00607110">
        <w:rPr>
          <w:szCs w:val="24"/>
        </w:rPr>
        <w:t>Når det gjelder d</w:t>
      </w:r>
      <w:r w:rsidR="00DF718E" w:rsidRPr="00607110">
        <w:rPr>
          <w:szCs w:val="24"/>
        </w:rPr>
        <w:t xml:space="preserve">et kriteriet </w:t>
      </w:r>
      <w:r w:rsidR="000E70B4">
        <w:rPr>
          <w:szCs w:val="24"/>
        </w:rPr>
        <w:t>r</w:t>
      </w:r>
      <w:r w:rsidR="000E70B4" w:rsidRPr="00607110">
        <w:rPr>
          <w:szCs w:val="24"/>
        </w:rPr>
        <w:t>iksadvokaten</w:t>
      </w:r>
      <w:r w:rsidR="000E70B4">
        <w:rPr>
          <w:szCs w:val="24"/>
        </w:rPr>
        <w:t xml:space="preserve"> </w:t>
      </w:r>
      <w:r w:rsidR="00235B7B">
        <w:rPr>
          <w:szCs w:val="24"/>
        </w:rPr>
        <w:t>har kalt «</w:t>
      </w:r>
      <w:r w:rsidR="006A21E8" w:rsidRPr="00607110">
        <w:rPr>
          <w:szCs w:val="24"/>
        </w:rPr>
        <w:t>informasjonens karakter</w:t>
      </w:r>
      <w:r w:rsidR="00235B7B">
        <w:rPr>
          <w:szCs w:val="24"/>
        </w:rPr>
        <w:t>»</w:t>
      </w:r>
      <w:r w:rsidR="00E340BA">
        <w:rPr>
          <w:szCs w:val="24"/>
        </w:rPr>
        <w:t>,</w:t>
      </w:r>
      <w:r w:rsidR="006A21E8" w:rsidRPr="00607110">
        <w:rPr>
          <w:szCs w:val="24"/>
        </w:rPr>
        <w:t xml:space="preserve"> er ikke det noe annet enn et vilkår om at informasjonen må ha allmenn interesse. </w:t>
      </w:r>
      <w:r w:rsidR="005E3D24" w:rsidRPr="00607110">
        <w:rPr>
          <w:szCs w:val="24"/>
        </w:rPr>
        <w:t xml:space="preserve">Redegjørelsen </w:t>
      </w:r>
      <w:r w:rsidR="002B7E1B" w:rsidRPr="00607110">
        <w:rPr>
          <w:szCs w:val="24"/>
        </w:rPr>
        <w:t xml:space="preserve">fra EMD </w:t>
      </w:r>
      <w:r w:rsidR="005E3D24" w:rsidRPr="00607110">
        <w:rPr>
          <w:szCs w:val="24"/>
        </w:rPr>
        <w:t xml:space="preserve">kan ikke leses som at enkelte dokumenttyper ikke vil være omfattet av art. 10 slik Riksadvokaten synes å legge til grunn. Sensitive personopplysninger i straffesaksdokumenter kan imidlertid i flere tilfeller være en grunn til å nekte innsyn dersom nødvendighetskravet i art. 10 nr. 2 er oppfylt. </w:t>
      </w:r>
    </w:p>
    <w:p w:rsidR="00B24544" w:rsidRPr="00607110" w:rsidRDefault="00B24544" w:rsidP="002B7E1B">
      <w:pPr>
        <w:rPr>
          <w:szCs w:val="24"/>
        </w:rPr>
      </w:pPr>
    </w:p>
    <w:p w:rsidR="002B7E1B" w:rsidRPr="00607110" w:rsidRDefault="00B24544" w:rsidP="002B7E1B">
      <w:pPr>
        <w:rPr>
          <w:szCs w:val="24"/>
        </w:rPr>
      </w:pPr>
      <w:r w:rsidRPr="00607110">
        <w:rPr>
          <w:szCs w:val="24"/>
        </w:rPr>
        <w:t>Når</w:t>
      </w:r>
      <w:r w:rsidR="002B7E1B" w:rsidRPr="00607110">
        <w:rPr>
          <w:szCs w:val="24"/>
        </w:rPr>
        <w:t xml:space="preserve"> Høyesterett i premiss 69 i Legevaktsaken uttaler at man som hovedregel ikke kan kreve utlevering av politiforklaringer, innebærer </w:t>
      </w:r>
      <w:r w:rsidRPr="00607110">
        <w:rPr>
          <w:szCs w:val="24"/>
        </w:rPr>
        <w:t xml:space="preserve">det </w:t>
      </w:r>
      <w:r w:rsidR="002B7E1B" w:rsidRPr="00607110">
        <w:rPr>
          <w:szCs w:val="24"/>
        </w:rPr>
        <w:t xml:space="preserve">at avslag på innsyn i mange slike tilfeller </w:t>
      </w:r>
      <w:r w:rsidRPr="00607110">
        <w:rPr>
          <w:szCs w:val="24"/>
        </w:rPr>
        <w:t xml:space="preserve">nettopp </w:t>
      </w:r>
      <w:r w:rsidR="002B7E1B" w:rsidRPr="00607110">
        <w:rPr>
          <w:szCs w:val="24"/>
        </w:rPr>
        <w:t xml:space="preserve">vil oppfylle vilkårene i art. 10 nr. 2 slik at nektelsen ikke er en krenkelse av informasjonsretten i EMK art. 10. </w:t>
      </w:r>
    </w:p>
    <w:p w:rsidR="006A21E8" w:rsidRPr="00607110" w:rsidRDefault="006A21E8" w:rsidP="005E3D24">
      <w:pPr>
        <w:rPr>
          <w:szCs w:val="24"/>
        </w:rPr>
      </w:pPr>
    </w:p>
    <w:p w:rsidR="005E3D24" w:rsidRPr="00607110" w:rsidRDefault="005E3D24" w:rsidP="005E3D24">
      <w:pPr>
        <w:rPr>
          <w:szCs w:val="24"/>
        </w:rPr>
      </w:pPr>
      <w:r w:rsidRPr="00607110">
        <w:rPr>
          <w:szCs w:val="24"/>
        </w:rPr>
        <w:t>Når Riksadvokaten tolker storkammeravgjørelsen dithen at den ikke gir grunnlag for mer omfattende rett til innsyn enn i Legevaktsaken, er det en altfor snever tolkning av avgjørelsen. Slik vi ser det kan det ikke utl</w:t>
      </w:r>
      <w:r w:rsidR="00523B1A">
        <w:rPr>
          <w:szCs w:val="24"/>
        </w:rPr>
        <w:t>edes av praksis fra EMD at medier</w:t>
      </w:r>
      <w:r w:rsidRPr="00607110">
        <w:rPr>
          <w:szCs w:val="24"/>
        </w:rPr>
        <w:t xml:space="preserve">s innsynsrett i straffesaksdokumenter er snever og at man som hovedregel ikke har rett til innsyn, jfr. </w:t>
      </w:r>
      <w:r w:rsidR="000E70B4">
        <w:rPr>
          <w:szCs w:val="24"/>
        </w:rPr>
        <w:t>r</w:t>
      </w:r>
      <w:r w:rsidR="000E70B4" w:rsidRPr="00607110">
        <w:rPr>
          <w:szCs w:val="24"/>
        </w:rPr>
        <w:t xml:space="preserve">iksadvokatens </w:t>
      </w:r>
      <w:r w:rsidRPr="00607110">
        <w:rPr>
          <w:szCs w:val="24"/>
        </w:rPr>
        <w:t xml:space="preserve">uttalelse på side 22 i retningslinjene. </w:t>
      </w:r>
    </w:p>
    <w:p w:rsidR="008E62AA" w:rsidRPr="00607110" w:rsidRDefault="008E62AA" w:rsidP="005E3D24">
      <w:pPr>
        <w:rPr>
          <w:szCs w:val="24"/>
        </w:rPr>
      </w:pPr>
    </w:p>
    <w:p w:rsidR="005E3D24" w:rsidRPr="00607110" w:rsidRDefault="005E3D24" w:rsidP="005E3D24">
      <w:pPr>
        <w:rPr>
          <w:szCs w:val="24"/>
        </w:rPr>
      </w:pPr>
      <w:r w:rsidRPr="00607110">
        <w:rPr>
          <w:szCs w:val="24"/>
        </w:rPr>
        <w:t xml:space="preserve">Det kan </w:t>
      </w:r>
      <w:r w:rsidR="002E491C" w:rsidRPr="00607110">
        <w:rPr>
          <w:szCs w:val="24"/>
        </w:rPr>
        <w:t>etter dette</w:t>
      </w:r>
      <w:r w:rsidRPr="00607110">
        <w:rPr>
          <w:szCs w:val="24"/>
        </w:rPr>
        <w:t xml:space="preserve"> være liten tvil om at art. 10 får anvendelse på pressens innsynskrav i straffesaksdokumenter. Påtalemyndigheten må derfor godtgjøre at vilkårene i art. 10 nr. 2 er oppfylt</w:t>
      </w:r>
      <w:r w:rsidR="000E70B4">
        <w:rPr>
          <w:szCs w:val="24"/>
        </w:rPr>
        <w:t>,</w:t>
      </w:r>
      <w:r w:rsidRPr="00607110">
        <w:rPr>
          <w:szCs w:val="24"/>
        </w:rPr>
        <w:t xml:space="preserve"> før nektelse av innsyn vil være lovlig. Dette må tydeliggjøres i retningslinjene.</w:t>
      </w:r>
    </w:p>
    <w:p w:rsidR="008E62AA" w:rsidRPr="00607110" w:rsidRDefault="008E62AA" w:rsidP="005E3D24">
      <w:pPr>
        <w:rPr>
          <w:szCs w:val="24"/>
        </w:rPr>
      </w:pPr>
    </w:p>
    <w:p w:rsidR="005E3D24" w:rsidRPr="00607110" w:rsidRDefault="005E3D24" w:rsidP="005E3D24">
      <w:pPr>
        <w:rPr>
          <w:szCs w:val="24"/>
        </w:rPr>
      </w:pPr>
      <w:r w:rsidRPr="00607110">
        <w:rPr>
          <w:szCs w:val="24"/>
        </w:rPr>
        <w:t>Det følger av praksis fra EMD og Høyesterett at nødvendighetskravet betyr at det må foreligge tvingende samfunnsmessig behov for å gjøre inngrep i ytrings- og informasjonsfriheten. For å avgjøre om nødvendighetskriteriet er oppfylt, må det foretas en konkret vurdering av sakens allmenne interesse veid opp mot eventuelle hensyn som taler mot innsyn. Jo større allmenn interesse saken har, jo vektigere mothensyn må foreligge før nødvendighetskravet er oppfylt.</w:t>
      </w:r>
    </w:p>
    <w:p w:rsidR="008E62AA" w:rsidRPr="00607110" w:rsidRDefault="008E62AA" w:rsidP="005E3D24">
      <w:pPr>
        <w:rPr>
          <w:szCs w:val="24"/>
        </w:rPr>
      </w:pPr>
    </w:p>
    <w:p w:rsidR="005E3D24" w:rsidRPr="00607110" w:rsidRDefault="005E3D24" w:rsidP="005E3D24">
      <w:pPr>
        <w:rPr>
          <w:szCs w:val="24"/>
        </w:rPr>
      </w:pPr>
      <w:r w:rsidRPr="00607110">
        <w:rPr>
          <w:szCs w:val="24"/>
        </w:rPr>
        <w:t>Riksadvokaten legger til grunn at det må foretas en avveining mellom de ulike interessene i saken</w:t>
      </w:r>
      <w:r w:rsidR="00E340BA">
        <w:rPr>
          <w:szCs w:val="24"/>
        </w:rPr>
        <w:t>,</w:t>
      </w:r>
      <w:r w:rsidRPr="00607110">
        <w:rPr>
          <w:szCs w:val="24"/>
        </w:rPr>
        <w:t xml:space="preserve"> og at dersom det er tale om innsyn i sensitive opplysninger kan det være et brudd på EMK art. 8. Det er viktig å understreke at det ikke er slik at dersom det gjelder taushetsbelagte opplysninger så vil det alene være tilstrekkelig for å nekte innsyn. Det foreligger en rekke avgjørelser fra EMD og Høyesterett der avveiningen mellom EMK art. </w:t>
      </w:r>
      <w:r w:rsidR="00E340BA">
        <w:rPr>
          <w:szCs w:val="24"/>
        </w:rPr>
        <w:t xml:space="preserve">8 og 10 </w:t>
      </w:r>
      <w:r w:rsidRPr="00607110">
        <w:rPr>
          <w:szCs w:val="24"/>
        </w:rPr>
        <w:t>i flere tilfeller går i favør av ytringsfriheten etter en interesseavveining</w:t>
      </w:r>
      <w:r w:rsidR="008E62AA" w:rsidRPr="00607110">
        <w:rPr>
          <w:szCs w:val="24"/>
        </w:rPr>
        <w:t xml:space="preserve">, </w:t>
      </w:r>
      <w:r w:rsidR="00C61FCF" w:rsidRPr="00607110">
        <w:rPr>
          <w:szCs w:val="24"/>
        </w:rPr>
        <w:t>jfr.</w:t>
      </w:r>
      <w:r w:rsidR="008E62AA" w:rsidRPr="00607110">
        <w:rPr>
          <w:szCs w:val="24"/>
        </w:rPr>
        <w:t xml:space="preserve"> eksempelvis storkammeravgjørelsene Von Hannover mot Tyskland (nr 2) og Axel Springer mot Tyskland fra 2012</w:t>
      </w:r>
      <w:r w:rsidRPr="00607110">
        <w:rPr>
          <w:szCs w:val="24"/>
        </w:rPr>
        <w:t>.</w:t>
      </w:r>
    </w:p>
    <w:p w:rsidR="00B9310B" w:rsidRPr="00607110" w:rsidRDefault="00B9310B" w:rsidP="008E62AA">
      <w:pPr>
        <w:rPr>
          <w:szCs w:val="24"/>
        </w:rPr>
      </w:pPr>
    </w:p>
    <w:p w:rsidR="005E3D24" w:rsidRPr="00607110" w:rsidRDefault="005E3D24" w:rsidP="008E62AA">
      <w:pPr>
        <w:rPr>
          <w:szCs w:val="24"/>
        </w:rPr>
      </w:pPr>
      <w:r w:rsidRPr="00607110">
        <w:rPr>
          <w:szCs w:val="24"/>
        </w:rPr>
        <w:t>Riksadvokatens henvisning til uskyldspresumsjonen i EMK art. 6 nr. 2 er heller ikke relevant som grunnlag for å nekte innsyn dersom dokumentet i</w:t>
      </w:r>
      <w:r w:rsidR="00523B1A">
        <w:rPr>
          <w:szCs w:val="24"/>
        </w:rPr>
        <w:t>kke lett kan anonymiseres. Medier</w:t>
      </w:r>
      <w:r w:rsidRPr="00607110">
        <w:rPr>
          <w:szCs w:val="24"/>
        </w:rPr>
        <w:t xml:space="preserve"> er selv ansvarlig for å ivareta hensynet til den mistenkte, både gjennom rettsreglene om privatlivets fred og ærekrenkelsesvernet</w:t>
      </w:r>
      <w:r w:rsidR="002B30E5" w:rsidRPr="00607110">
        <w:rPr>
          <w:szCs w:val="24"/>
        </w:rPr>
        <w:t xml:space="preserve"> og Vær Varsom-plakatens regler</w:t>
      </w:r>
      <w:r w:rsidRPr="00607110">
        <w:rPr>
          <w:szCs w:val="24"/>
        </w:rPr>
        <w:t xml:space="preserve">. Dette prinsippet er </w:t>
      </w:r>
      <w:r w:rsidR="008E62AA" w:rsidRPr="00607110">
        <w:rPr>
          <w:szCs w:val="24"/>
        </w:rPr>
        <w:t xml:space="preserve">som nevnt over under punkt </w:t>
      </w:r>
      <w:r w:rsidR="00B24544" w:rsidRPr="00607110">
        <w:rPr>
          <w:szCs w:val="24"/>
        </w:rPr>
        <w:t xml:space="preserve">4 </w:t>
      </w:r>
      <w:r w:rsidRPr="00607110">
        <w:rPr>
          <w:szCs w:val="24"/>
        </w:rPr>
        <w:t xml:space="preserve">uttalt i flere </w:t>
      </w:r>
      <w:r w:rsidR="00B24544" w:rsidRPr="00607110">
        <w:rPr>
          <w:szCs w:val="24"/>
        </w:rPr>
        <w:t>rettsavgjørelser</w:t>
      </w:r>
      <w:r w:rsidR="008E62AA" w:rsidRPr="00607110">
        <w:rPr>
          <w:szCs w:val="24"/>
        </w:rPr>
        <w:t xml:space="preserve">. </w:t>
      </w:r>
      <w:r w:rsidRPr="00607110">
        <w:rPr>
          <w:szCs w:val="24"/>
        </w:rPr>
        <w:t>Samme prinsipp må legges</w:t>
      </w:r>
      <w:r w:rsidR="00523B1A">
        <w:rPr>
          <w:szCs w:val="24"/>
        </w:rPr>
        <w:t xml:space="preserve"> til grunn når det gjelder medier</w:t>
      </w:r>
      <w:r w:rsidRPr="00607110">
        <w:rPr>
          <w:szCs w:val="24"/>
        </w:rPr>
        <w:t>s ansvar for å ivareta mistenktes/tiltaltes personverninteresser i innsynssaker.</w:t>
      </w:r>
    </w:p>
    <w:p w:rsidR="008E62AA" w:rsidRPr="00B15E17" w:rsidRDefault="008E62AA" w:rsidP="005E3D24">
      <w:pPr>
        <w:rPr>
          <w:szCs w:val="24"/>
        </w:rPr>
      </w:pPr>
    </w:p>
    <w:p w:rsidR="007D7516" w:rsidRPr="00E27846" w:rsidRDefault="005E3D24" w:rsidP="005E3D24">
      <w:pPr>
        <w:rPr>
          <w:szCs w:val="24"/>
        </w:rPr>
      </w:pPr>
      <w:r w:rsidRPr="00E27846">
        <w:rPr>
          <w:szCs w:val="24"/>
        </w:rPr>
        <w:t xml:space="preserve">Riksadvokaten uttaler i sitt utkast til retningslinjer at påtalemyndigheten har en </w:t>
      </w:r>
      <w:r w:rsidRPr="00E27846">
        <w:rPr>
          <w:i/>
          <w:szCs w:val="24"/>
        </w:rPr>
        <w:t xml:space="preserve">viss </w:t>
      </w:r>
      <w:r w:rsidRPr="00E27846">
        <w:rPr>
          <w:szCs w:val="24"/>
        </w:rPr>
        <w:t xml:space="preserve">plikt til å anonymisere opplysninger for å muliggjøre innsyn. Det minnes i den forbindelse om at EMD har lagt til grunn en </w:t>
      </w:r>
      <w:r w:rsidRPr="00E27846">
        <w:rPr>
          <w:i/>
          <w:szCs w:val="24"/>
        </w:rPr>
        <w:t>omfattende</w:t>
      </w:r>
      <w:r w:rsidRPr="00E27846">
        <w:rPr>
          <w:szCs w:val="24"/>
        </w:rPr>
        <w:t xml:space="preserve"> anonymiseringsplikt for at innsynsretten i art. 10 skal ivaretas, ref. Østerreichische Vereinigung v Østerrike (28.11.13) der staten ble pålagt å anonymisere flere hundretalls avgjørelser. I de tilfeller der sterke personverninteresser gjør seg gjeldende</w:t>
      </w:r>
      <w:r w:rsidR="00CD4211">
        <w:rPr>
          <w:szCs w:val="24"/>
        </w:rPr>
        <w:t>,</w:t>
      </w:r>
      <w:r w:rsidRPr="00E27846">
        <w:rPr>
          <w:szCs w:val="24"/>
        </w:rPr>
        <w:t xml:space="preserve"> er påtalemyndigheten altså allikevel i stor grad forpliktet til å anonymisere o</w:t>
      </w:r>
      <w:r w:rsidR="00523B1A">
        <w:rPr>
          <w:szCs w:val="24"/>
        </w:rPr>
        <w:t>pplysningene for å ivareta medier</w:t>
      </w:r>
      <w:r w:rsidRPr="00E27846">
        <w:rPr>
          <w:szCs w:val="24"/>
        </w:rPr>
        <w:t>s informasjonsrett iht. EMK art. 10 nr. 1. Dette må komme tydelig frem i retningslinjene.</w:t>
      </w:r>
    </w:p>
    <w:p w:rsidR="00561881" w:rsidRPr="00E27846" w:rsidRDefault="00561881" w:rsidP="00561881">
      <w:pPr>
        <w:rPr>
          <w:szCs w:val="24"/>
        </w:rPr>
      </w:pPr>
    </w:p>
    <w:p w:rsidR="00FE1A34" w:rsidRPr="00E27846" w:rsidRDefault="00FE1A34" w:rsidP="00561881">
      <w:pPr>
        <w:rPr>
          <w:szCs w:val="24"/>
        </w:rPr>
      </w:pPr>
    </w:p>
    <w:p w:rsidR="00FE1A34" w:rsidRPr="00293FCD" w:rsidRDefault="007C57F3" w:rsidP="00293FCD">
      <w:pPr>
        <w:rPr>
          <w:rFonts w:eastAsia="Calibri"/>
          <w:b/>
          <w:szCs w:val="24"/>
          <w:lang w:eastAsia="en-US"/>
        </w:rPr>
      </w:pPr>
      <w:r>
        <w:rPr>
          <w:b/>
          <w:szCs w:val="24"/>
        </w:rPr>
        <w:t>10</w:t>
      </w:r>
      <w:r w:rsidR="00B15653">
        <w:rPr>
          <w:b/>
          <w:szCs w:val="24"/>
        </w:rPr>
        <w:t xml:space="preserve">. </w:t>
      </w:r>
      <w:r w:rsidR="00FE1A34" w:rsidRPr="00B15653">
        <w:rPr>
          <w:b/>
          <w:szCs w:val="24"/>
        </w:rPr>
        <w:t>Verserende saker (utkastets punkt 6.4)</w:t>
      </w:r>
    </w:p>
    <w:p w:rsidR="00FE1A34" w:rsidRPr="00B15653" w:rsidRDefault="00E75EB1" w:rsidP="00FE1A34">
      <w:pPr>
        <w:rPr>
          <w:szCs w:val="24"/>
        </w:rPr>
      </w:pPr>
      <w:r w:rsidRPr="00B15653">
        <w:rPr>
          <w:szCs w:val="24"/>
        </w:rPr>
        <w:t xml:space="preserve">Vi beklager at utkastet ikke inneholder noen veiledning om allmennhetens innsynsrett i </w:t>
      </w:r>
      <w:r w:rsidRPr="00B15653">
        <w:rPr>
          <w:b/>
          <w:szCs w:val="24"/>
        </w:rPr>
        <w:t>anmeldelser</w:t>
      </w:r>
      <w:r w:rsidRPr="00B15653">
        <w:rPr>
          <w:szCs w:val="24"/>
        </w:rPr>
        <w:t>, all den tid dette allerede i 1981 var etablert som et grunnprinsipp i Riksadvokatens omtalte rundskriv fra 1981</w:t>
      </w:r>
      <w:r w:rsidR="00B11CCC" w:rsidRPr="00B15653">
        <w:rPr>
          <w:szCs w:val="24"/>
        </w:rPr>
        <w:t xml:space="preserve"> i punkt </w:t>
      </w:r>
      <w:r w:rsidR="004125CE" w:rsidRPr="00B15653">
        <w:rPr>
          <w:szCs w:val="24"/>
        </w:rPr>
        <w:t>IV nr. 5</w:t>
      </w:r>
      <w:r w:rsidRPr="00B15653">
        <w:rPr>
          <w:szCs w:val="24"/>
        </w:rPr>
        <w:t xml:space="preserve">. Etter vår mening tilsier gjeldende rett at det, etter en konkret meroffentlighetsvurdering, på forespørsel kan gis bekreftelser på mottatte anmeldelser av allmenn interesse. Vi minner i den sammenheng </w:t>
      </w:r>
      <w:r w:rsidR="00B925BF" w:rsidRPr="00B15653">
        <w:rPr>
          <w:szCs w:val="24"/>
        </w:rPr>
        <w:t xml:space="preserve">også om </w:t>
      </w:r>
      <w:r w:rsidRPr="00B15653">
        <w:rPr>
          <w:szCs w:val="24"/>
        </w:rPr>
        <w:t xml:space="preserve">Anmeldelsessaken Rt 1994 s. 50. </w:t>
      </w:r>
    </w:p>
    <w:p w:rsidR="00FE1A34" w:rsidRPr="00B15653" w:rsidRDefault="00FE1A34" w:rsidP="00FE1A34">
      <w:pPr>
        <w:rPr>
          <w:szCs w:val="24"/>
        </w:rPr>
      </w:pPr>
    </w:p>
    <w:p w:rsidR="0038611C" w:rsidRPr="00B15653" w:rsidRDefault="0038611C" w:rsidP="00561881">
      <w:pPr>
        <w:rPr>
          <w:szCs w:val="24"/>
        </w:rPr>
      </w:pPr>
    </w:p>
    <w:p w:rsidR="00327B81" w:rsidRDefault="00327B81" w:rsidP="00F0553D">
      <w:pPr>
        <w:rPr>
          <w:rFonts w:ascii="Calibri Light" w:hAnsi="Calibri Light"/>
          <w:sz w:val="22"/>
          <w:szCs w:val="22"/>
        </w:rPr>
      </w:pPr>
    </w:p>
    <w:p w:rsidR="00327B81" w:rsidRPr="00B95642" w:rsidRDefault="00327B81" w:rsidP="00F0553D">
      <w:pPr>
        <w:rPr>
          <w:rFonts w:ascii="Calibri Light" w:hAnsi="Calibri Light"/>
          <w:sz w:val="22"/>
          <w:szCs w:val="22"/>
        </w:rPr>
      </w:pPr>
    </w:p>
    <w:p w:rsidR="00E60CF7" w:rsidRDefault="00E60CF7" w:rsidP="00E60CF7">
      <w:pPr>
        <w:rPr>
          <w:rFonts w:ascii="Calibri Light" w:hAnsi="Calibri Light"/>
          <w:sz w:val="22"/>
        </w:rPr>
      </w:pPr>
    </w:p>
    <w:p w:rsidR="00F335F8" w:rsidRDefault="00F335F8" w:rsidP="00B15653">
      <w:pPr>
        <w:jc w:val="center"/>
        <w:rPr>
          <w:rFonts w:ascii="Garamond" w:hAnsi="Garamond"/>
          <w:b/>
          <w:szCs w:val="24"/>
        </w:rPr>
      </w:pPr>
      <w:r>
        <w:rPr>
          <w:rFonts w:ascii="Garamond" w:hAnsi="Garamond"/>
          <w:b/>
          <w:szCs w:val="24"/>
        </w:rPr>
        <w:t>Med vennlig hilsen</w:t>
      </w:r>
    </w:p>
    <w:p w:rsidR="00B15653" w:rsidRDefault="00B15653" w:rsidP="00F335F8">
      <w:pPr>
        <w:rPr>
          <w:rFonts w:ascii="Garamond" w:hAnsi="Garamond"/>
          <w:b/>
          <w:szCs w:val="24"/>
        </w:rPr>
      </w:pPr>
    </w:p>
    <w:p w:rsidR="00F335F8" w:rsidRPr="005A7392" w:rsidRDefault="00F335F8" w:rsidP="00F335F8">
      <w:pPr>
        <w:spacing w:after="200"/>
        <w:rPr>
          <w:rFonts w:ascii="Garamond" w:hAnsi="Garamond" w:cs="Arial"/>
          <w:b/>
          <w:szCs w:val="24"/>
          <w:lang w:eastAsia="en-US"/>
        </w:rPr>
      </w:pPr>
      <w:r w:rsidRPr="005A7392">
        <w:rPr>
          <w:rFonts w:ascii="Garamond" w:hAnsi="Garamond" w:cs="Arial"/>
          <w:b/>
          <w:szCs w:val="24"/>
          <w:lang w:eastAsia="en-US"/>
        </w:rPr>
        <w:t>Norsk Presseforbund</w:t>
      </w:r>
      <w:proofErr w:type="gramStart"/>
      <w:r>
        <w:rPr>
          <w:rFonts w:ascii="Garamond" w:hAnsi="Garamond" w:cs="Arial"/>
          <w:b/>
          <w:szCs w:val="24"/>
          <w:lang w:eastAsia="en-US"/>
        </w:rPr>
        <w:tab/>
      </w:r>
      <w:r w:rsidR="00B74C19">
        <w:rPr>
          <w:rFonts w:ascii="Garamond" w:hAnsi="Garamond" w:cs="Arial"/>
          <w:b/>
          <w:szCs w:val="24"/>
          <w:lang w:eastAsia="en-US"/>
        </w:rPr>
        <w:t xml:space="preserve">  </w:t>
      </w:r>
      <w:r w:rsidRPr="005A7392">
        <w:rPr>
          <w:rFonts w:ascii="Garamond" w:hAnsi="Garamond" w:cs="Arial"/>
          <w:b/>
          <w:szCs w:val="24"/>
          <w:lang w:eastAsia="en-US"/>
        </w:rPr>
        <w:t>Norsk</w:t>
      </w:r>
      <w:proofErr w:type="gramEnd"/>
      <w:r w:rsidRPr="005A7392">
        <w:rPr>
          <w:rFonts w:ascii="Garamond" w:hAnsi="Garamond" w:cs="Arial"/>
          <w:b/>
          <w:szCs w:val="24"/>
          <w:lang w:eastAsia="en-US"/>
        </w:rPr>
        <w:t xml:space="preserve"> Journalistlag</w:t>
      </w:r>
      <w:r>
        <w:rPr>
          <w:rFonts w:ascii="Garamond" w:hAnsi="Garamond" w:cs="Arial"/>
          <w:b/>
          <w:szCs w:val="24"/>
          <w:lang w:eastAsia="en-US"/>
        </w:rPr>
        <w:tab/>
      </w:r>
      <w:r>
        <w:rPr>
          <w:rFonts w:ascii="Garamond" w:hAnsi="Garamond" w:cs="Arial"/>
          <w:b/>
          <w:szCs w:val="24"/>
          <w:lang w:eastAsia="en-US"/>
        </w:rPr>
        <w:tab/>
      </w:r>
      <w:r w:rsidR="00B74C19">
        <w:rPr>
          <w:rFonts w:ascii="Garamond" w:hAnsi="Garamond" w:cs="Arial"/>
          <w:b/>
          <w:szCs w:val="24"/>
          <w:lang w:eastAsia="en-US"/>
        </w:rPr>
        <w:t xml:space="preserve">  </w:t>
      </w:r>
      <w:r w:rsidRPr="005A7392">
        <w:rPr>
          <w:rFonts w:ascii="Garamond" w:hAnsi="Garamond" w:cs="Arial"/>
          <w:b/>
          <w:szCs w:val="24"/>
          <w:lang w:eastAsia="en-US"/>
        </w:rPr>
        <w:t>Norsk Redaktørforening</w:t>
      </w:r>
    </w:p>
    <w:p w:rsidR="00F335F8" w:rsidRDefault="00FA1A5D" w:rsidP="00F335F8">
      <w:pPr>
        <w:spacing w:after="200"/>
        <w:rPr>
          <w:rFonts w:ascii="Garamond" w:hAnsi="Garamond" w:cs="Arial"/>
          <w:noProof/>
          <w:szCs w:val="24"/>
        </w:rPr>
      </w:pPr>
      <w:r w:rsidRPr="00C93EC2">
        <w:rPr>
          <w:noProof/>
        </w:rPr>
        <w:drawing>
          <wp:inline distT="0" distB="0" distL="0" distR="0" wp14:anchorId="56077A3B" wp14:editId="77E8FDBA">
            <wp:extent cx="1149985" cy="62674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9985" cy="626745"/>
                    </a:xfrm>
                    <a:prstGeom prst="rect">
                      <a:avLst/>
                    </a:prstGeom>
                    <a:noFill/>
                    <a:ln>
                      <a:noFill/>
                    </a:ln>
                  </pic:spPr>
                </pic:pic>
              </a:graphicData>
            </a:graphic>
          </wp:inline>
        </w:drawing>
      </w:r>
      <w:r w:rsidR="00F335F8">
        <w:rPr>
          <w:noProof/>
        </w:rPr>
        <w:tab/>
      </w:r>
      <w:r w:rsidR="00F335F8">
        <w:rPr>
          <w:noProof/>
        </w:rPr>
        <w:tab/>
      </w:r>
      <w:r w:rsidR="00B74C19">
        <w:rPr>
          <w:noProof/>
        </w:rPr>
        <w:t xml:space="preserve">  </w:t>
      </w:r>
      <w:r w:rsidRPr="009A0502">
        <w:rPr>
          <w:rFonts w:ascii="Garamond" w:hAnsi="Garamond" w:cs="Arial"/>
          <w:noProof/>
          <w:szCs w:val="24"/>
        </w:rPr>
        <w:drawing>
          <wp:inline distT="0" distB="0" distL="0" distR="0" wp14:anchorId="405ABB23" wp14:editId="73C9FD36">
            <wp:extent cx="1437640" cy="400685"/>
            <wp:effectExtent l="0" t="0" r="0" b="0"/>
            <wp:docPr id="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7640" cy="400685"/>
                    </a:xfrm>
                    <a:prstGeom prst="rect">
                      <a:avLst/>
                    </a:prstGeom>
                    <a:noFill/>
                    <a:ln>
                      <a:noFill/>
                    </a:ln>
                  </pic:spPr>
                </pic:pic>
              </a:graphicData>
            </a:graphic>
          </wp:inline>
        </w:drawing>
      </w:r>
      <w:r w:rsidR="00F335F8">
        <w:rPr>
          <w:rFonts w:ascii="Garamond" w:hAnsi="Garamond" w:cs="Arial"/>
          <w:noProof/>
          <w:szCs w:val="24"/>
        </w:rPr>
        <w:tab/>
      </w:r>
      <w:r w:rsidR="00B74C19">
        <w:rPr>
          <w:rFonts w:ascii="Garamond" w:hAnsi="Garamond" w:cs="Arial"/>
          <w:noProof/>
          <w:szCs w:val="24"/>
        </w:rPr>
        <w:t xml:space="preserve">  </w:t>
      </w:r>
      <w:r w:rsidRPr="009A0502">
        <w:rPr>
          <w:rFonts w:ascii="Garamond" w:hAnsi="Garamond" w:cs="Arial"/>
          <w:noProof/>
          <w:szCs w:val="24"/>
        </w:rPr>
        <w:drawing>
          <wp:inline distT="0" distB="0" distL="0" distR="0" wp14:anchorId="2703F61B" wp14:editId="5E053C74">
            <wp:extent cx="989965" cy="560705"/>
            <wp:effectExtent l="0" t="0" r="0" b="0"/>
            <wp:docPr id="6" name="Bilde 6" descr="Signatur Arne Jen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descr="Signatur Arne Jense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9965" cy="560705"/>
                    </a:xfrm>
                    <a:prstGeom prst="rect">
                      <a:avLst/>
                    </a:prstGeom>
                    <a:noFill/>
                    <a:ln>
                      <a:noFill/>
                    </a:ln>
                  </pic:spPr>
                </pic:pic>
              </a:graphicData>
            </a:graphic>
          </wp:inline>
        </w:drawing>
      </w:r>
    </w:p>
    <w:p w:rsidR="00F335F8" w:rsidRPr="005A7392" w:rsidRDefault="00F335F8" w:rsidP="00F335F8">
      <w:pPr>
        <w:spacing w:after="200"/>
        <w:rPr>
          <w:rFonts w:ascii="Garamond" w:hAnsi="Garamond" w:cs="Arial"/>
          <w:szCs w:val="24"/>
          <w:lang w:eastAsia="en-US"/>
        </w:rPr>
      </w:pPr>
      <w:r>
        <w:rPr>
          <w:rFonts w:ascii="Garamond" w:hAnsi="Garamond" w:cs="Arial"/>
          <w:noProof/>
          <w:szCs w:val="24"/>
        </w:rPr>
        <w:t>Nils E. Øy</w:t>
      </w:r>
      <w:r w:rsidRPr="00F34EA9">
        <w:rPr>
          <w:rFonts w:ascii="Garamond" w:hAnsi="Garamond" w:cs="Arial"/>
          <w:noProof/>
          <w:szCs w:val="24"/>
        </w:rPr>
        <w:tab/>
      </w:r>
      <w:r>
        <w:rPr>
          <w:rFonts w:ascii="Garamond" w:hAnsi="Garamond" w:cs="Arial"/>
          <w:noProof/>
          <w:szCs w:val="24"/>
        </w:rPr>
        <w:tab/>
      </w:r>
      <w:proofErr w:type="gramStart"/>
      <w:r>
        <w:rPr>
          <w:rFonts w:ascii="Garamond" w:hAnsi="Garamond" w:cs="Arial"/>
          <w:noProof/>
          <w:szCs w:val="24"/>
        </w:rPr>
        <w:tab/>
      </w:r>
      <w:r w:rsidR="00B74C19">
        <w:rPr>
          <w:rFonts w:ascii="Garamond" w:hAnsi="Garamond" w:cs="Arial"/>
          <w:noProof/>
          <w:szCs w:val="24"/>
        </w:rPr>
        <w:t xml:space="preserve">  </w:t>
      </w:r>
      <w:r w:rsidRPr="005A7392">
        <w:rPr>
          <w:rFonts w:ascii="Garamond" w:hAnsi="Garamond" w:cs="Arial"/>
          <w:szCs w:val="24"/>
          <w:lang w:eastAsia="en-US"/>
        </w:rPr>
        <w:t>Ina</w:t>
      </w:r>
      <w:proofErr w:type="gramEnd"/>
      <w:r w:rsidRPr="005A7392">
        <w:rPr>
          <w:rFonts w:ascii="Garamond" w:hAnsi="Garamond" w:cs="Arial"/>
          <w:szCs w:val="24"/>
          <w:lang w:eastAsia="en-US"/>
        </w:rPr>
        <w:t xml:space="preserve"> Lindahl Nyrud </w:t>
      </w:r>
      <w:r w:rsidRPr="005A7392">
        <w:rPr>
          <w:rFonts w:ascii="Garamond" w:hAnsi="Garamond" w:cs="Arial"/>
          <w:szCs w:val="24"/>
          <w:lang w:eastAsia="en-US"/>
        </w:rPr>
        <w:tab/>
      </w:r>
      <w:r w:rsidRPr="005A7392">
        <w:rPr>
          <w:rFonts w:ascii="Garamond" w:hAnsi="Garamond" w:cs="Arial"/>
          <w:szCs w:val="24"/>
          <w:lang w:eastAsia="en-US"/>
        </w:rPr>
        <w:tab/>
      </w:r>
      <w:r w:rsidR="00B74C19">
        <w:rPr>
          <w:rFonts w:ascii="Garamond" w:hAnsi="Garamond" w:cs="Arial"/>
          <w:szCs w:val="24"/>
          <w:lang w:eastAsia="en-US"/>
        </w:rPr>
        <w:t xml:space="preserve">  </w:t>
      </w:r>
      <w:r w:rsidRPr="005A7392">
        <w:rPr>
          <w:rFonts w:ascii="Garamond" w:hAnsi="Garamond" w:cs="Arial"/>
          <w:szCs w:val="24"/>
          <w:lang w:eastAsia="en-US"/>
        </w:rPr>
        <w:t>Arne Jensen</w:t>
      </w:r>
    </w:p>
    <w:p w:rsidR="00F335F8" w:rsidRPr="00F34EA9" w:rsidRDefault="00327B81" w:rsidP="00F335F8">
      <w:pPr>
        <w:spacing w:after="120"/>
        <w:rPr>
          <w:rFonts w:ascii="Garamond" w:hAnsi="Garamond"/>
          <w:szCs w:val="24"/>
        </w:rPr>
      </w:pPr>
      <w:r>
        <w:rPr>
          <w:rFonts w:ascii="Garamond" w:hAnsi="Garamond" w:cs="Arial"/>
          <w:i/>
          <w:szCs w:val="24"/>
          <w:lang w:eastAsia="en-US"/>
        </w:rPr>
        <w:t>generalsekretær</w:t>
      </w:r>
      <w:r w:rsidR="00B15653">
        <w:rPr>
          <w:rFonts w:ascii="Garamond" w:hAnsi="Garamond" w:cs="Arial"/>
          <w:i/>
          <w:szCs w:val="24"/>
          <w:lang w:eastAsia="en-US"/>
        </w:rPr>
        <w:t xml:space="preserve"> (</w:t>
      </w:r>
      <w:proofErr w:type="spellStart"/>
      <w:r w:rsidR="00B15653">
        <w:rPr>
          <w:rFonts w:ascii="Garamond" w:hAnsi="Garamond" w:cs="Arial"/>
          <w:i/>
          <w:szCs w:val="24"/>
          <w:lang w:eastAsia="en-US"/>
        </w:rPr>
        <w:t>kst</w:t>
      </w:r>
      <w:proofErr w:type="spellEnd"/>
      <w:r w:rsidR="00B15653">
        <w:rPr>
          <w:rFonts w:ascii="Garamond" w:hAnsi="Garamond" w:cs="Arial"/>
          <w:i/>
          <w:szCs w:val="24"/>
          <w:lang w:eastAsia="en-US"/>
        </w:rPr>
        <w:t>)</w:t>
      </w:r>
      <w:r w:rsidR="00F93D50">
        <w:rPr>
          <w:rFonts w:ascii="Garamond" w:hAnsi="Garamond" w:cs="Arial"/>
          <w:i/>
          <w:szCs w:val="24"/>
          <w:lang w:eastAsia="en-US"/>
        </w:rPr>
        <w:tab/>
      </w:r>
      <w:proofErr w:type="gramStart"/>
      <w:r w:rsidR="00F335F8">
        <w:rPr>
          <w:rFonts w:ascii="Garamond" w:hAnsi="Garamond" w:cs="Arial"/>
          <w:i/>
          <w:szCs w:val="24"/>
          <w:lang w:eastAsia="en-US"/>
        </w:rPr>
        <w:tab/>
      </w:r>
      <w:r w:rsidR="00B74C19">
        <w:rPr>
          <w:rFonts w:ascii="Garamond" w:hAnsi="Garamond" w:cs="Arial"/>
          <w:i/>
          <w:szCs w:val="24"/>
          <w:lang w:eastAsia="en-US"/>
        </w:rPr>
        <w:t xml:space="preserve">  </w:t>
      </w:r>
      <w:r w:rsidR="00F335F8">
        <w:rPr>
          <w:rFonts w:ascii="Garamond" w:hAnsi="Garamond" w:cs="Arial"/>
          <w:i/>
          <w:szCs w:val="24"/>
          <w:lang w:eastAsia="en-US"/>
        </w:rPr>
        <w:t>a</w:t>
      </w:r>
      <w:r w:rsidR="00F335F8" w:rsidRPr="005A7392">
        <w:rPr>
          <w:rFonts w:ascii="Garamond" w:hAnsi="Garamond" w:cs="Arial"/>
          <w:i/>
          <w:szCs w:val="24"/>
          <w:lang w:eastAsia="en-US"/>
        </w:rPr>
        <w:t>dvokat</w:t>
      </w:r>
      <w:proofErr w:type="gramEnd"/>
      <w:r w:rsidR="00B74C19">
        <w:rPr>
          <w:rFonts w:ascii="Garamond" w:hAnsi="Garamond" w:cs="Arial"/>
          <w:i/>
          <w:szCs w:val="24"/>
          <w:lang w:eastAsia="en-US"/>
        </w:rPr>
        <w:tab/>
      </w:r>
      <w:r w:rsidR="00B74C19">
        <w:rPr>
          <w:rFonts w:ascii="Garamond" w:hAnsi="Garamond" w:cs="Arial"/>
          <w:i/>
          <w:szCs w:val="24"/>
          <w:lang w:eastAsia="en-US"/>
        </w:rPr>
        <w:tab/>
      </w:r>
      <w:r w:rsidR="00B74C19">
        <w:rPr>
          <w:rFonts w:ascii="Garamond" w:hAnsi="Garamond" w:cs="Arial"/>
          <w:i/>
          <w:szCs w:val="24"/>
          <w:lang w:eastAsia="en-US"/>
        </w:rPr>
        <w:tab/>
        <w:t xml:space="preserve">  </w:t>
      </w:r>
      <w:r w:rsidR="00F335F8" w:rsidRPr="005A7392">
        <w:rPr>
          <w:rFonts w:ascii="Garamond" w:hAnsi="Garamond" w:cs="Arial"/>
          <w:i/>
          <w:szCs w:val="24"/>
          <w:lang w:eastAsia="en-US"/>
        </w:rPr>
        <w:t>generalsekretær</w:t>
      </w:r>
    </w:p>
    <w:p w:rsidR="00145C8B" w:rsidRPr="00F335F8" w:rsidRDefault="00145C8B" w:rsidP="00F335F8"/>
    <w:sectPr w:rsidR="00145C8B" w:rsidRPr="00F335F8" w:rsidSect="00C93A37">
      <w:footerReference w:type="even" r:id="rId15"/>
      <w:footerReference w:type="default" r:id="rId16"/>
      <w:pgSz w:w="11906" w:h="16838" w:code="9"/>
      <w:pgMar w:top="1418" w:right="1701" w:bottom="1418" w:left="1418" w:header="709" w:footer="425" w:gutter="0"/>
      <w:paperSrc w:first="7" w:other="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A84" w:rsidRDefault="00787A84">
      <w:r>
        <w:separator/>
      </w:r>
    </w:p>
  </w:endnote>
  <w:endnote w:type="continuationSeparator" w:id="0">
    <w:p w:rsidR="00787A84" w:rsidRDefault="0078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heSansB W5 Plain">
    <w:altName w:val="Arial"/>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E5C" w:rsidRDefault="00174E5C">
    <w:pPr>
      <w:framePr w:wrap="around" w:vAnchor="text" w:hAnchor="margin" w:xAlign="right" w:y="1"/>
    </w:pPr>
    <w:r>
      <w:fldChar w:fldCharType="begin"/>
    </w:r>
    <w:r>
      <w:instrText xml:space="preserve">PAGE  </w:instrText>
    </w:r>
    <w:r>
      <w:fldChar w:fldCharType="separate"/>
    </w:r>
    <w:r>
      <w:rPr>
        <w:noProof/>
      </w:rPr>
      <w:t>1</w:t>
    </w:r>
    <w:r>
      <w:fldChar w:fldCharType="end"/>
    </w:r>
  </w:p>
  <w:p w:rsidR="00174E5C" w:rsidRDefault="00174E5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E5C" w:rsidRDefault="00174E5C">
    <w:pPr>
      <w:tabs>
        <w:tab w:val="center" w:pos="4395"/>
        <w:tab w:val="right" w:pos="8789"/>
      </w:tabs>
      <w:jc w:val="center"/>
      <w:rPr>
        <w:rFonts w:ascii="Arial" w:hAnsi="Arial"/>
        <w:spacing w:val="20"/>
        <w:sz w:val="14"/>
      </w:rPr>
    </w:pPr>
    <w:r>
      <w:rPr>
        <w:rFonts w:ascii="Arial" w:hAnsi="Arial"/>
        <w:spacing w:val="20"/>
        <w:sz w:val="14"/>
      </w:rPr>
      <w:tab/>
    </w:r>
    <w:r>
      <w:rPr>
        <w:rFonts w:ascii="Arial" w:hAnsi="Arial"/>
        <w:spacing w:val="20"/>
        <w:sz w:val="14"/>
      </w:rPr>
      <w:tab/>
      <w:t xml:space="preserve">Side </w:t>
    </w:r>
    <w:r>
      <w:rPr>
        <w:rFonts w:ascii="Arial" w:hAnsi="Arial"/>
        <w:spacing w:val="20"/>
        <w:sz w:val="14"/>
      </w:rPr>
      <w:fldChar w:fldCharType="begin"/>
    </w:r>
    <w:r>
      <w:rPr>
        <w:rFonts w:ascii="Arial" w:hAnsi="Arial"/>
        <w:spacing w:val="20"/>
        <w:sz w:val="14"/>
      </w:rPr>
      <w:instrText xml:space="preserve"> PAGE  \* MERGEFORMAT </w:instrText>
    </w:r>
    <w:r>
      <w:rPr>
        <w:rFonts w:ascii="Arial" w:hAnsi="Arial"/>
        <w:spacing w:val="20"/>
        <w:sz w:val="14"/>
      </w:rPr>
      <w:fldChar w:fldCharType="separate"/>
    </w:r>
    <w:r w:rsidR="003E44CE">
      <w:rPr>
        <w:rFonts w:ascii="Arial" w:hAnsi="Arial"/>
        <w:noProof/>
        <w:spacing w:val="20"/>
        <w:sz w:val="14"/>
      </w:rPr>
      <w:t>13</w:t>
    </w:r>
    <w:r>
      <w:rPr>
        <w:rFonts w:ascii="Arial" w:hAnsi="Arial"/>
        <w:spacing w:val="2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A84" w:rsidRDefault="00787A84">
      <w:r>
        <w:separator/>
      </w:r>
    </w:p>
  </w:footnote>
  <w:footnote w:type="continuationSeparator" w:id="0">
    <w:p w:rsidR="00787A84" w:rsidRDefault="0078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789E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285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803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3EF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3686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8E8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BA06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1C7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6A2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775A32"/>
    <w:multiLevelType w:val="multilevel"/>
    <w:tmpl w:val="19E01E64"/>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800" w:hanging="144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520" w:hanging="216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63447F0A"/>
    <w:multiLevelType w:val="multilevel"/>
    <w:tmpl w:val="19E01E64"/>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800" w:hanging="144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520" w:hanging="216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6C0F4A90"/>
    <w:multiLevelType w:val="hybridMultilevel"/>
    <w:tmpl w:val="0A98E9E2"/>
    <w:lvl w:ilvl="0" w:tplc="2E5AB194">
      <w:numFmt w:val="bullet"/>
      <w:lvlText w:val="-"/>
      <w:lvlJc w:val="left"/>
      <w:pPr>
        <w:ind w:left="720" w:hanging="360"/>
      </w:pPr>
      <w:rPr>
        <w:rFonts w:ascii="Calibri Light" w:eastAsia="Times New Roman" w:hAnsi="Calibri Ligh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5E46B9F"/>
    <w:multiLevelType w:val="hybridMultilevel"/>
    <w:tmpl w:val="C36207CC"/>
    <w:lvl w:ilvl="0" w:tplc="362EF752">
      <w:numFmt w:val="bullet"/>
      <w:lvlText w:val="-"/>
      <w:lvlJc w:val="left"/>
      <w:pPr>
        <w:ind w:left="720" w:hanging="360"/>
      </w:pPr>
      <w:rPr>
        <w:rFonts w:ascii="Calibri Light" w:eastAsia="Times New Roman" w:hAnsi="Calibri Ligh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12"/>
    <w:rsid w:val="0000282A"/>
    <w:rsid w:val="000071DA"/>
    <w:rsid w:val="000138D7"/>
    <w:rsid w:val="0001492B"/>
    <w:rsid w:val="00015D90"/>
    <w:rsid w:val="00016BB8"/>
    <w:rsid w:val="000313EF"/>
    <w:rsid w:val="000415C1"/>
    <w:rsid w:val="000517B4"/>
    <w:rsid w:val="00051A9E"/>
    <w:rsid w:val="00052C37"/>
    <w:rsid w:val="0006044A"/>
    <w:rsid w:val="00066F87"/>
    <w:rsid w:val="00075026"/>
    <w:rsid w:val="00087C17"/>
    <w:rsid w:val="0009206D"/>
    <w:rsid w:val="00093775"/>
    <w:rsid w:val="00093C37"/>
    <w:rsid w:val="000A2467"/>
    <w:rsid w:val="000B75DB"/>
    <w:rsid w:val="000C0B88"/>
    <w:rsid w:val="000C16F6"/>
    <w:rsid w:val="000C210A"/>
    <w:rsid w:val="000C351E"/>
    <w:rsid w:val="000C53D8"/>
    <w:rsid w:val="000C60B9"/>
    <w:rsid w:val="000D4BA5"/>
    <w:rsid w:val="000E4AA7"/>
    <w:rsid w:val="000E63B9"/>
    <w:rsid w:val="000E70B4"/>
    <w:rsid w:val="000E7737"/>
    <w:rsid w:val="000F4A71"/>
    <w:rsid w:val="0010772E"/>
    <w:rsid w:val="001242DE"/>
    <w:rsid w:val="00124722"/>
    <w:rsid w:val="00134B45"/>
    <w:rsid w:val="00145C8B"/>
    <w:rsid w:val="0014694A"/>
    <w:rsid w:val="00155150"/>
    <w:rsid w:val="00166437"/>
    <w:rsid w:val="001706D7"/>
    <w:rsid w:val="00172227"/>
    <w:rsid w:val="00174454"/>
    <w:rsid w:val="00174B23"/>
    <w:rsid w:val="00174E5C"/>
    <w:rsid w:val="00175B28"/>
    <w:rsid w:val="00177AF0"/>
    <w:rsid w:val="001859F5"/>
    <w:rsid w:val="001861BA"/>
    <w:rsid w:val="00190BF6"/>
    <w:rsid w:val="001944D6"/>
    <w:rsid w:val="00197396"/>
    <w:rsid w:val="001A0ABF"/>
    <w:rsid w:val="001A1232"/>
    <w:rsid w:val="001A2E87"/>
    <w:rsid w:val="001A74EB"/>
    <w:rsid w:val="001B0FA4"/>
    <w:rsid w:val="001C187A"/>
    <w:rsid w:val="001C2DF6"/>
    <w:rsid w:val="001D2326"/>
    <w:rsid w:val="001D7130"/>
    <w:rsid w:val="001E574F"/>
    <w:rsid w:val="001F1F81"/>
    <w:rsid w:val="001F515C"/>
    <w:rsid w:val="00203B2A"/>
    <w:rsid w:val="002040AC"/>
    <w:rsid w:val="002043E8"/>
    <w:rsid w:val="00220206"/>
    <w:rsid w:val="0022051F"/>
    <w:rsid w:val="00235B7B"/>
    <w:rsid w:val="00236507"/>
    <w:rsid w:val="00237E6C"/>
    <w:rsid w:val="0024135F"/>
    <w:rsid w:val="00246942"/>
    <w:rsid w:val="00253778"/>
    <w:rsid w:val="002632F1"/>
    <w:rsid w:val="00263EDE"/>
    <w:rsid w:val="00264764"/>
    <w:rsid w:val="00267097"/>
    <w:rsid w:val="00272FD8"/>
    <w:rsid w:val="00281939"/>
    <w:rsid w:val="002821AE"/>
    <w:rsid w:val="00285B42"/>
    <w:rsid w:val="002902B1"/>
    <w:rsid w:val="00293FCD"/>
    <w:rsid w:val="002A0968"/>
    <w:rsid w:val="002A3DEE"/>
    <w:rsid w:val="002B0574"/>
    <w:rsid w:val="002B30E5"/>
    <w:rsid w:val="002B38AA"/>
    <w:rsid w:val="002B6107"/>
    <w:rsid w:val="002B7E1B"/>
    <w:rsid w:val="002C0F1C"/>
    <w:rsid w:val="002C10AE"/>
    <w:rsid w:val="002C1112"/>
    <w:rsid w:val="002C2B08"/>
    <w:rsid w:val="002C2EB9"/>
    <w:rsid w:val="002D6E47"/>
    <w:rsid w:val="002E4331"/>
    <w:rsid w:val="002E491C"/>
    <w:rsid w:val="002E773F"/>
    <w:rsid w:val="002F467D"/>
    <w:rsid w:val="002F5FEE"/>
    <w:rsid w:val="002F7B23"/>
    <w:rsid w:val="00301045"/>
    <w:rsid w:val="0031500C"/>
    <w:rsid w:val="00321EEB"/>
    <w:rsid w:val="00326314"/>
    <w:rsid w:val="00327B81"/>
    <w:rsid w:val="00333797"/>
    <w:rsid w:val="00333FE9"/>
    <w:rsid w:val="00340AA1"/>
    <w:rsid w:val="00341601"/>
    <w:rsid w:val="00343037"/>
    <w:rsid w:val="0034509D"/>
    <w:rsid w:val="00347C75"/>
    <w:rsid w:val="003534FB"/>
    <w:rsid w:val="0035700B"/>
    <w:rsid w:val="00360F8B"/>
    <w:rsid w:val="00365612"/>
    <w:rsid w:val="0037215B"/>
    <w:rsid w:val="00375B65"/>
    <w:rsid w:val="003824C6"/>
    <w:rsid w:val="00384272"/>
    <w:rsid w:val="0038611C"/>
    <w:rsid w:val="003871E7"/>
    <w:rsid w:val="00394002"/>
    <w:rsid w:val="003A2E47"/>
    <w:rsid w:val="003A3623"/>
    <w:rsid w:val="003B5269"/>
    <w:rsid w:val="003B54F7"/>
    <w:rsid w:val="003B713E"/>
    <w:rsid w:val="003B7708"/>
    <w:rsid w:val="003D5393"/>
    <w:rsid w:val="003E00AB"/>
    <w:rsid w:val="003E07EC"/>
    <w:rsid w:val="003E44CE"/>
    <w:rsid w:val="003E66F1"/>
    <w:rsid w:val="003F1C19"/>
    <w:rsid w:val="003F222B"/>
    <w:rsid w:val="003F4E49"/>
    <w:rsid w:val="003F6EDC"/>
    <w:rsid w:val="003F71AA"/>
    <w:rsid w:val="003F7298"/>
    <w:rsid w:val="0041112C"/>
    <w:rsid w:val="004125CE"/>
    <w:rsid w:val="00412718"/>
    <w:rsid w:val="0041659A"/>
    <w:rsid w:val="004214C4"/>
    <w:rsid w:val="00423CF0"/>
    <w:rsid w:val="00426CC0"/>
    <w:rsid w:val="00441CE1"/>
    <w:rsid w:val="00442494"/>
    <w:rsid w:val="00453196"/>
    <w:rsid w:val="004536A9"/>
    <w:rsid w:val="00453DAA"/>
    <w:rsid w:val="00453DDC"/>
    <w:rsid w:val="00471D90"/>
    <w:rsid w:val="00472F07"/>
    <w:rsid w:val="00477557"/>
    <w:rsid w:val="00482445"/>
    <w:rsid w:val="0048371D"/>
    <w:rsid w:val="00485240"/>
    <w:rsid w:val="00487C64"/>
    <w:rsid w:val="004965CF"/>
    <w:rsid w:val="004A4AB5"/>
    <w:rsid w:val="004A7420"/>
    <w:rsid w:val="004B2A5D"/>
    <w:rsid w:val="004B7C0F"/>
    <w:rsid w:val="004B7FEE"/>
    <w:rsid w:val="004E4DFE"/>
    <w:rsid w:val="004F7A2D"/>
    <w:rsid w:val="0050032E"/>
    <w:rsid w:val="00502CC6"/>
    <w:rsid w:val="0050521B"/>
    <w:rsid w:val="005059BC"/>
    <w:rsid w:val="00510586"/>
    <w:rsid w:val="00513493"/>
    <w:rsid w:val="00523B1A"/>
    <w:rsid w:val="005271E8"/>
    <w:rsid w:val="00540AC6"/>
    <w:rsid w:val="00543A58"/>
    <w:rsid w:val="00550344"/>
    <w:rsid w:val="00560709"/>
    <w:rsid w:val="00561881"/>
    <w:rsid w:val="00561C10"/>
    <w:rsid w:val="00562351"/>
    <w:rsid w:val="00562A57"/>
    <w:rsid w:val="005661AD"/>
    <w:rsid w:val="00587002"/>
    <w:rsid w:val="005912B7"/>
    <w:rsid w:val="005951FC"/>
    <w:rsid w:val="005A49AB"/>
    <w:rsid w:val="005B60ED"/>
    <w:rsid w:val="005B6A1E"/>
    <w:rsid w:val="005C1BD5"/>
    <w:rsid w:val="005D29EB"/>
    <w:rsid w:val="005D690E"/>
    <w:rsid w:val="005E3D24"/>
    <w:rsid w:val="00607110"/>
    <w:rsid w:val="00622081"/>
    <w:rsid w:val="00624C70"/>
    <w:rsid w:val="0063089D"/>
    <w:rsid w:val="00634EC1"/>
    <w:rsid w:val="00637F74"/>
    <w:rsid w:val="00646F84"/>
    <w:rsid w:val="00652693"/>
    <w:rsid w:val="00653561"/>
    <w:rsid w:val="00657E17"/>
    <w:rsid w:val="006630B4"/>
    <w:rsid w:val="00675634"/>
    <w:rsid w:val="006757A6"/>
    <w:rsid w:val="006852ED"/>
    <w:rsid w:val="00697D40"/>
    <w:rsid w:val="006A070D"/>
    <w:rsid w:val="006A1AF0"/>
    <w:rsid w:val="006A21E8"/>
    <w:rsid w:val="006A371D"/>
    <w:rsid w:val="006B6028"/>
    <w:rsid w:val="006C623D"/>
    <w:rsid w:val="006D1B6A"/>
    <w:rsid w:val="006E315B"/>
    <w:rsid w:val="006E559A"/>
    <w:rsid w:val="006E5A1E"/>
    <w:rsid w:val="006F02A3"/>
    <w:rsid w:val="00705926"/>
    <w:rsid w:val="00710CB8"/>
    <w:rsid w:val="007118E1"/>
    <w:rsid w:val="00715219"/>
    <w:rsid w:val="00715E67"/>
    <w:rsid w:val="007331E6"/>
    <w:rsid w:val="00735590"/>
    <w:rsid w:val="00736E0B"/>
    <w:rsid w:val="0074099F"/>
    <w:rsid w:val="007478DB"/>
    <w:rsid w:val="00752D0B"/>
    <w:rsid w:val="00762402"/>
    <w:rsid w:val="00763C02"/>
    <w:rsid w:val="00780F5E"/>
    <w:rsid w:val="007825C9"/>
    <w:rsid w:val="00783962"/>
    <w:rsid w:val="007844A1"/>
    <w:rsid w:val="0078637D"/>
    <w:rsid w:val="00786435"/>
    <w:rsid w:val="00787A84"/>
    <w:rsid w:val="00796874"/>
    <w:rsid w:val="007A6BED"/>
    <w:rsid w:val="007B025F"/>
    <w:rsid w:val="007B4F24"/>
    <w:rsid w:val="007B7DAC"/>
    <w:rsid w:val="007C57F3"/>
    <w:rsid w:val="007C59AC"/>
    <w:rsid w:val="007C5CE3"/>
    <w:rsid w:val="007C7DAE"/>
    <w:rsid w:val="007D7516"/>
    <w:rsid w:val="007F2799"/>
    <w:rsid w:val="007F2F9F"/>
    <w:rsid w:val="007F48D7"/>
    <w:rsid w:val="007F6E0C"/>
    <w:rsid w:val="007F7831"/>
    <w:rsid w:val="00802D4E"/>
    <w:rsid w:val="0081210E"/>
    <w:rsid w:val="00816575"/>
    <w:rsid w:val="00820FCB"/>
    <w:rsid w:val="00832BC6"/>
    <w:rsid w:val="00833A43"/>
    <w:rsid w:val="00840F6E"/>
    <w:rsid w:val="00843E59"/>
    <w:rsid w:val="0085328D"/>
    <w:rsid w:val="00855C30"/>
    <w:rsid w:val="00855EC7"/>
    <w:rsid w:val="0085731B"/>
    <w:rsid w:val="00861CB8"/>
    <w:rsid w:val="00865335"/>
    <w:rsid w:val="00865621"/>
    <w:rsid w:val="008748C0"/>
    <w:rsid w:val="008853B1"/>
    <w:rsid w:val="00885A40"/>
    <w:rsid w:val="00891C02"/>
    <w:rsid w:val="008B345D"/>
    <w:rsid w:val="008B744A"/>
    <w:rsid w:val="008B7A85"/>
    <w:rsid w:val="008B7C53"/>
    <w:rsid w:val="008C1247"/>
    <w:rsid w:val="008C2761"/>
    <w:rsid w:val="008D46E9"/>
    <w:rsid w:val="008D56EB"/>
    <w:rsid w:val="008D70A0"/>
    <w:rsid w:val="008D7585"/>
    <w:rsid w:val="008E0FAA"/>
    <w:rsid w:val="008E62AA"/>
    <w:rsid w:val="008F03F3"/>
    <w:rsid w:val="009013E9"/>
    <w:rsid w:val="00904415"/>
    <w:rsid w:val="00906C09"/>
    <w:rsid w:val="00907C5C"/>
    <w:rsid w:val="0091121E"/>
    <w:rsid w:val="00912707"/>
    <w:rsid w:val="009153EC"/>
    <w:rsid w:val="00915E70"/>
    <w:rsid w:val="009219F0"/>
    <w:rsid w:val="00926CC4"/>
    <w:rsid w:val="0093077E"/>
    <w:rsid w:val="00930C44"/>
    <w:rsid w:val="00933A6E"/>
    <w:rsid w:val="00937420"/>
    <w:rsid w:val="009443BE"/>
    <w:rsid w:val="00954A1C"/>
    <w:rsid w:val="009756E4"/>
    <w:rsid w:val="009866EC"/>
    <w:rsid w:val="009A0502"/>
    <w:rsid w:val="009B003E"/>
    <w:rsid w:val="009B0A14"/>
    <w:rsid w:val="009B5247"/>
    <w:rsid w:val="009B6CD1"/>
    <w:rsid w:val="009D6B61"/>
    <w:rsid w:val="009E450E"/>
    <w:rsid w:val="009E4A6E"/>
    <w:rsid w:val="009E7951"/>
    <w:rsid w:val="009F1DC3"/>
    <w:rsid w:val="00A05D03"/>
    <w:rsid w:val="00A05EBC"/>
    <w:rsid w:val="00A10A48"/>
    <w:rsid w:val="00A1324F"/>
    <w:rsid w:val="00A16E2A"/>
    <w:rsid w:val="00A2158D"/>
    <w:rsid w:val="00A2277E"/>
    <w:rsid w:val="00A25609"/>
    <w:rsid w:val="00A264F8"/>
    <w:rsid w:val="00A3346D"/>
    <w:rsid w:val="00A34F1C"/>
    <w:rsid w:val="00A4196F"/>
    <w:rsid w:val="00A454A1"/>
    <w:rsid w:val="00A47D7B"/>
    <w:rsid w:val="00A56539"/>
    <w:rsid w:val="00A61100"/>
    <w:rsid w:val="00A73B31"/>
    <w:rsid w:val="00A77DB2"/>
    <w:rsid w:val="00A85A06"/>
    <w:rsid w:val="00A85C13"/>
    <w:rsid w:val="00A8636B"/>
    <w:rsid w:val="00A91A42"/>
    <w:rsid w:val="00AA0405"/>
    <w:rsid w:val="00AA6010"/>
    <w:rsid w:val="00AB1830"/>
    <w:rsid w:val="00AB645C"/>
    <w:rsid w:val="00AB7653"/>
    <w:rsid w:val="00AC047A"/>
    <w:rsid w:val="00AC2908"/>
    <w:rsid w:val="00AC658C"/>
    <w:rsid w:val="00AD161C"/>
    <w:rsid w:val="00AD3BE0"/>
    <w:rsid w:val="00AD61C3"/>
    <w:rsid w:val="00AF4C16"/>
    <w:rsid w:val="00AF4E42"/>
    <w:rsid w:val="00AF67EC"/>
    <w:rsid w:val="00B018A7"/>
    <w:rsid w:val="00B02C0F"/>
    <w:rsid w:val="00B045D8"/>
    <w:rsid w:val="00B04D92"/>
    <w:rsid w:val="00B10776"/>
    <w:rsid w:val="00B11CCC"/>
    <w:rsid w:val="00B15653"/>
    <w:rsid w:val="00B15E17"/>
    <w:rsid w:val="00B20348"/>
    <w:rsid w:val="00B21402"/>
    <w:rsid w:val="00B24544"/>
    <w:rsid w:val="00B26628"/>
    <w:rsid w:val="00B308E0"/>
    <w:rsid w:val="00B34A9E"/>
    <w:rsid w:val="00B35050"/>
    <w:rsid w:val="00B467BC"/>
    <w:rsid w:val="00B61F76"/>
    <w:rsid w:val="00B6730B"/>
    <w:rsid w:val="00B7320D"/>
    <w:rsid w:val="00B74C19"/>
    <w:rsid w:val="00B8065E"/>
    <w:rsid w:val="00B84924"/>
    <w:rsid w:val="00B925BF"/>
    <w:rsid w:val="00B9310B"/>
    <w:rsid w:val="00B95642"/>
    <w:rsid w:val="00B96C56"/>
    <w:rsid w:val="00BC155E"/>
    <w:rsid w:val="00BC17DB"/>
    <w:rsid w:val="00BC6836"/>
    <w:rsid w:val="00BD1401"/>
    <w:rsid w:val="00BD26F9"/>
    <w:rsid w:val="00BD7A20"/>
    <w:rsid w:val="00BE16AE"/>
    <w:rsid w:val="00BE3732"/>
    <w:rsid w:val="00BE5479"/>
    <w:rsid w:val="00BE737F"/>
    <w:rsid w:val="00BF1026"/>
    <w:rsid w:val="00BF121B"/>
    <w:rsid w:val="00C003E5"/>
    <w:rsid w:val="00C01A2E"/>
    <w:rsid w:val="00C106F4"/>
    <w:rsid w:val="00C138D3"/>
    <w:rsid w:val="00C15CE6"/>
    <w:rsid w:val="00C230CE"/>
    <w:rsid w:val="00C244AA"/>
    <w:rsid w:val="00C25780"/>
    <w:rsid w:val="00C2779B"/>
    <w:rsid w:val="00C46276"/>
    <w:rsid w:val="00C50E69"/>
    <w:rsid w:val="00C52C06"/>
    <w:rsid w:val="00C60040"/>
    <w:rsid w:val="00C61FCF"/>
    <w:rsid w:val="00C6432E"/>
    <w:rsid w:val="00C76601"/>
    <w:rsid w:val="00C8101B"/>
    <w:rsid w:val="00C92BFD"/>
    <w:rsid w:val="00C93A37"/>
    <w:rsid w:val="00C953D3"/>
    <w:rsid w:val="00CA12E6"/>
    <w:rsid w:val="00CA213C"/>
    <w:rsid w:val="00CA29D7"/>
    <w:rsid w:val="00CB3731"/>
    <w:rsid w:val="00CB661E"/>
    <w:rsid w:val="00CB665A"/>
    <w:rsid w:val="00CD36A2"/>
    <w:rsid w:val="00CD4211"/>
    <w:rsid w:val="00CD4533"/>
    <w:rsid w:val="00CE412F"/>
    <w:rsid w:val="00CF2197"/>
    <w:rsid w:val="00CF3AAD"/>
    <w:rsid w:val="00D03AE8"/>
    <w:rsid w:val="00D109C8"/>
    <w:rsid w:val="00D112FB"/>
    <w:rsid w:val="00D12ED1"/>
    <w:rsid w:val="00D131C1"/>
    <w:rsid w:val="00D161CD"/>
    <w:rsid w:val="00D2493C"/>
    <w:rsid w:val="00D33041"/>
    <w:rsid w:val="00D354B2"/>
    <w:rsid w:val="00D37562"/>
    <w:rsid w:val="00D41B27"/>
    <w:rsid w:val="00D5242F"/>
    <w:rsid w:val="00D524FE"/>
    <w:rsid w:val="00D62704"/>
    <w:rsid w:val="00D6761B"/>
    <w:rsid w:val="00D70595"/>
    <w:rsid w:val="00D74174"/>
    <w:rsid w:val="00D74AB2"/>
    <w:rsid w:val="00D82F7C"/>
    <w:rsid w:val="00D8454B"/>
    <w:rsid w:val="00D85878"/>
    <w:rsid w:val="00D9355E"/>
    <w:rsid w:val="00D94DC5"/>
    <w:rsid w:val="00D959E3"/>
    <w:rsid w:val="00D964D6"/>
    <w:rsid w:val="00DA1DB0"/>
    <w:rsid w:val="00DA26A1"/>
    <w:rsid w:val="00DA46CC"/>
    <w:rsid w:val="00DA73D9"/>
    <w:rsid w:val="00DB0581"/>
    <w:rsid w:val="00DB401A"/>
    <w:rsid w:val="00DB661B"/>
    <w:rsid w:val="00DC0C09"/>
    <w:rsid w:val="00DC59B8"/>
    <w:rsid w:val="00DC5AFA"/>
    <w:rsid w:val="00DD5520"/>
    <w:rsid w:val="00DD73DD"/>
    <w:rsid w:val="00DE1DDC"/>
    <w:rsid w:val="00DE1E6C"/>
    <w:rsid w:val="00DE69E6"/>
    <w:rsid w:val="00DF4906"/>
    <w:rsid w:val="00DF718E"/>
    <w:rsid w:val="00E0186F"/>
    <w:rsid w:val="00E023BD"/>
    <w:rsid w:val="00E03CFA"/>
    <w:rsid w:val="00E03D38"/>
    <w:rsid w:val="00E0612B"/>
    <w:rsid w:val="00E267B5"/>
    <w:rsid w:val="00E27846"/>
    <w:rsid w:val="00E340BA"/>
    <w:rsid w:val="00E360FE"/>
    <w:rsid w:val="00E435D4"/>
    <w:rsid w:val="00E43AB1"/>
    <w:rsid w:val="00E506AD"/>
    <w:rsid w:val="00E5528D"/>
    <w:rsid w:val="00E5725A"/>
    <w:rsid w:val="00E60CF7"/>
    <w:rsid w:val="00E62170"/>
    <w:rsid w:val="00E62469"/>
    <w:rsid w:val="00E62E9F"/>
    <w:rsid w:val="00E64B17"/>
    <w:rsid w:val="00E7001D"/>
    <w:rsid w:val="00E71402"/>
    <w:rsid w:val="00E75EB1"/>
    <w:rsid w:val="00E8756D"/>
    <w:rsid w:val="00EA1700"/>
    <w:rsid w:val="00EA2174"/>
    <w:rsid w:val="00EA3C49"/>
    <w:rsid w:val="00EA3E30"/>
    <w:rsid w:val="00EA4BCF"/>
    <w:rsid w:val="00ED2250"/>
    <w:rsid w:val="00ED2607"/>
    <w:rsid w:val="00ED3760"/>
    <w:rsid w:val="00ED3DA2"/>
    <w:rsid w:val="00EE2AB2"/>
    <w:rsid w:val="00EF07C3"/>
    <w:rsid w:val="00EF1E67"/>
    <w:rsid w:val="00EF229D"/>
    <w:rsid w:val="00F04AD6"/>
    <w:rsid w:val="00F0553D"/>
    <w:rsid w:val="00F075C3"/>
    <w:rsid w:val="00F14043"/>
    <w:rsid w:val="00F1440D"/>
    <w:rsid w:val="00F25B53"/>
    <w:rsid w:val="00F26B8B"/>
    <w:rsid w:val="00F30D56"/>
    <w:rsid w:val="00F31794"/>
    <w:rsid w:val="00F335F8"/>
    <w:rsid w:val="00F35537"/>
    <w:rsid w:val="00F415FE"/>
    <w:rsid w:val="00F41697"/>
    <w:rsid w:val="00F53614"/>
    <w:rsid w:val="00F56FD8"/>
    <w:rsid w:val="00F6650E"/>
    <w:rsid w:val="00F75667"/>
    <w:rsid w:val="00F81EBA"/>
    <w:rsid w:val="00F832FA"/>
    <w:rsid w:val="00F84BED"/>
    <w:rsid w:val="00F86B22"/>
    <w:rsid w:val="00F93C37"/>
    <w:rsid w:val="00F93D50"/>
    <w:rsid w:val="00FA1A5D"/>
    <w:rsid w:val="00FA26D9"/>
    <w:rsid w:val="00FA4110"/>
    <w:rsid w:val="00FB05E3"/>
    <w:rsid w:val="00FB24CD"/>
    <w:rsid w:val="00FB26AD"/>
    <w:rsid w:val="00FB2946"/>
    <w:rsid w:val="00FB6312"/>
    <w:rsid w:val="00FC17A9"/>
    <w:rsid w:val="00FC32E1"/>
    <w:rsid w:val="00FC32F4"/>
    <w:rsid w:val="00FD1A29"/>
    <w:rsid w:val="00FD6A1B"/>
    <w:rsid w:val="00FE0D0F"/>
    <w:rsid w:val="00FE1A34"/>
    <w:rsid w:val="00FE2D49"/>
    <w:rsid w:val="00FE3306"/>
    <w:rsid w:val="00FE3800"/>
    <w:rsid w:val="00FE52A1"/>
    <w:rsid w:val="00FE569A"/>
    <w:rsid w:val="00FE6F17"/>
    <w:rsid w:val="00FF1790"/>
    <w:rsid w:val="00FF17C7"/>
    <w:rsid w:val="00FF67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25225"/>
  <w14:defaultImageDpi w14:val="300"/>
  <w15:chartTrackingRefBased/>
  <w15:docId w15:val="{F714F576-DC67-411E-BB0C-63444FB6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335F8"/>
    <w:rPr>
      <w:sz w:val="24"/>
    </w:rPr>
  </w:style>
  <w:style w:type="paragraph" w:styleId="Overskrift1">
    <w:name w:val="heading 1"/>
    <w:basedOn w:val="Normal"/>
    <w:next w:val="Normal"/>
    <w:qFormat/>
    <w:rsid w:val="0041659A"/>
    <w:pPr>
      <w:keepNext/>
      <w:spacing w:before="120" w:after="120"/>
      <w:outlineLvl w:val="0"/>
    </w:pPr>
    <w:rPr>
      <w:rFonts w:ascii="Gill Sans MT" w:hAnsi="Gill Sans MT"/>
      <w:b/>
      <w:kern w:val="28"/>
      <w:sz w:val="40"/>
    </w:rPr>
  </w:style>
  <w:style w:type="paragraph" w:styleId="Overskrift2">
    <w:name w:val="heading 2"/>
    <w:basedOn w:val="Normal"/>
    <w:next w:val="Normal"/>
    <w:qFormat/>
    <w:rsid w:val="0041659A"/>
    <w:pPr>
      <w:keepNext/>
      <w:spacing w:before="120" w:after="120"/>
      <w:outlineLvl w:val="1"/>
    </w:pPr>
    <w:rPr>
      <w:rFonts w:ascii="Gill Sans MT" w:hAnsi="Gill Sans MT"/>
      <w:b/>
      <w:sz w:val="28"/>
    </w:rPr>
  </w:style>
  <w:style w:type="paragraph" w:styleId="Overskrift3">
    <w:name w:val="heading 3"/>
    <w:basedOn w:val="Normal"/>
    <w:next w:val="Normal"/>
    <w:qFormat/>
    <w:rsid w:val="00F86B22"/>
    <w:pPr>
      <w:keepNext/>
      <w:spacing w:before="120" w:after="120"/>
      <w:outlineLvl w:val="2"/>
    </w:pPr>
    <w:rPr>
      <w:rFonts w:ascii="Gill Sans MT" w:hAnsi="Gill Sans MT"/>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table" w:styleId="Tabellrutenett">
    <w:name w:val="Table Grid"/>
    <w:basedOn w:val="Vanligtabell"/>
    <w:rsid w:val="007C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pPr>
      <w:spacing w:after="120"/>
    </w:pPr>
  </w:style>
  <w:style w:type="paragraph" w:styleId="Meldingshode">
    <w:name w:val="Message Header"/>
    <w:basedOn w:val="Normal"/>
    <w:rsid w:val="000F4A71"/>
    <w:pPr>
      <w:pBdr>
        <w:top w:val="single" w:sz="6" w:space="1" w:color="auto"/>
        <w:left w:val="single" w:sz="6" w:space="1" w:color="auto"/>
        <w:bottom w:val="single" w:sz="6" w:space="1" w:color="auto"/>
        <w:right w:val="single" w:sz="6" w:space="1" w:color="auto"/>
      </w:pBdr>
      <w:shd w:val="pct20" w:color="auto" w:fill="auto"/>
      <w:ind w:left="1134" w:hanging="1134"/>
      <w:jc w:val="center"/>
    </w:pPr>
    <w:rPr>
      <w:rFonts w:ascii="Arial" w:hAnsi="Arial" w:cs="Arial"/>
      <w:b/>
      <w:sz w:val="28"/>
      <w:szCs w:val="28"/>
    </w:rPr>
  </w:style>
  <w:style w:type="paragraph" w:customStyle="1" w:styleId="Strek">
    <w:name w:val="Strek"/>
    <w:basedOn w:val="Normal"/>
    <w:rsid w:val="00BD26F9"/>
    <w:pPr>
      <w:pBdr>
        <w:top w:val="single" w:sz="4" w:space="1" w:color="auto"/>
      </w:pBdr>
    </w:pPr>
  </w:style>
  <w:style w:type="character" w:styleId="Hyperkobling">
    <w:name w:val="Hyperlink"/>
    <w:uiPriority w:val="99"/>
    <w:unhideWhenUsed/>
    <w:rsid w:val="00F335F8"/>
    <w:rPr>
      <w:color w:val="0563C1"/>
      <w:u w:val="single"/>
    </w:rPr>
  </w:style>
  <w:style w:type="paragraph" w:styleId="Listeavsnitt">
    <w:name w:val="List Paragraph"/>
    <w:basedOn w:val="Normal"/>
    <w:uiPriority w:val="34"/>
    <w:qFormat/>
    <w:rsid w:val="00E60CF7"/>
    <w:pPr>
      <w:spacing w:after="160" w:line="256" w:lineRule="auto"/>
      <w:ind w:left="720"/>
      <w:contextualSpacing/>
    </w:pPr>
    <w:rPr>
      <w:rFonts w:ascii="TheSansB W5 Plain" w:eastAsia="Calibri" w:hAnsi="TheSansB W5 Plain"/>
      <w:sz w:val="20"/>
      <w:szCs w:val="22"/>
      <w:lang w:eastAsia="en-US"/>
    </w:rPr>
  </w:style>
  <w:style w:type="paragraph" w:styleId="Rentekst">
    <w:name w:val="Plain Text"/>
    <w:basedOn w:val="Normal"/>
    <w:link w:val="RentekstTegn"/>
    <w:uiPriority w:val="99"/>
    <w:semiHidden/>
    <w:unhideWhenUsed/>
    <w:rsid w:val="00E60CF7"/>
    <w:rPr>
      <w:rFonts w:ascii="Calibri" w:eastAsia="Calibri" w:hAnsi="Calibri"/>
      <w:sz w:val="22"/>
      <w:szCs w:val="21"/>
      <w:lang w:eastAsia="en-US"/>
    </w:rPr>
  </w:style>
  <w:style w:type="character" w:customStyle="1" w:styleId="RentekstTegn">
    <w:name w:val="Ren tekst Tegn"/>
    <w:link w:val="Rentekst"/>
    <w:uiPriority w:val="99"/>
    <w:semiHidden/>
    <w:rsid w:val="00E60CF7"/>
    <w:rPr>
      <w:rFonts w:ascii="Calibri" w:eastAsia="Calibri" w:hAnsi="Calibri"/>
      <w:sz w:val="22"/>
      <w:szCs w:val="21"/>
      <w:lang w:eastAsia="en-US"/>
    </w:rPr>
  </w:style>
  <w:style w:type="paragraph" w:styleId="Undertittel">
    <w:name w:val="Subtitle"/>
    <w:basedOn w:val="Normal"/>
    <w:next w:val="Normal"/>
    <w:link w:val="UndertittelTegn"/>
    <w:uiPriority w:val="11"/>
    <w:qFormat/>
    <w:rsid w:val="00134B45"/>
    <w:pPr>
      <w:spacing w:after="60"/>
      <w:jc w:val="center"/>
      <w:outlineLvl w:val="1"/>
    </w:pPr>
    <w:rPr>
      <w:rFonts w:ascii="Calibri Light" w:hAnsi="Calibri Light"/>
      <w:szCs w:val="24"/>
    </w:rPr>
  </w:style>
  <w:style w:type="character" w:customStyle="1" w:styleId="UndertittelTegn">
    <w:name w:val="Undertittel Tegn"/>
    <w:link w:val="Undertittel"/>
    <w:uiPriority w:val="11"/>
    <w:rsid w:val="00134B45"/>
    <w:rPr>
      <w:rFonts w:ascii="Calibri Light" w:eastAsia="Times New Roman" w:hAnsi="Calibri Light" w:cs="Times New Roman"/>
      <w:sz w:val="24"/>
      <w:szCs w:val="24"/>
    </w:rPr>
  </w:style>
  <w:style w:type="paragraph" w:styleId="Bobletekst">
    <w:name w:val="Balloon Text"/>
    <w:basedOn w:val="Normal"/>
    <w:link w:val="BobletekstTegn"/>
    <w:uiPriority w:val="99"/>
    <w:semiHidden/>
    <w:unhideWhenUsed/>
    <w:rsid w:val="00AC658C"/>
    <w:rPr>
      <w:rFonts w:ascii="Segoe UI" w:hAnsi="Segoe UI" w:cs="Segoe UI"/>
      <w:sz w:val="18"/>
      <w:szCs w:val="18"/>
    </w:rPr>
  </w:style>
  <w:style w:type="character" w:customStyle="1" w:styleId="BobletekstTegn">
    <w:name w:val="Bobletekst Tegn"/>
    <w:link w:val="Bobletekst"/>
    <w:uiPriority w:val="99"/>
    <w:semiHidden/>
    <w:rsid w:val="00AC658C"/>
    <w:rPr>
      <w:rFonts w:ascii="Segoe UI" w:hAnsi="Segoe UI" w:cs="Segoe UI"/>
      <w:sz w:val="18"/>
      <w:szCs w:val="18"/>
    </w:rPr>
  </w:style>
  <w:style w:type="character" w:styleId="Merknadsreferanse">
    <w:name w:val="annotation reference"/>
    <w:uiPriority w:val="99"/>
    <w:semiHidden/>
    <w:unhideWhenUsed/>
    <w:rsid w:val="00DA46CC"/>
    <w:rPr>
      <w:sz w:val="16"/>
      <w:szCs w:val="16"/>
    </w:rPr>
  </w:style>
  <w:style w:type="paragraph" w:styleId="Merknadstekst">
    <w:name w:val="annotation text"/>
    <w:basedOn w:val="Normal"/>
    <w:link w:val="MerknadstekstTegn"/>
    <w:uiPriority w:val="99"/>
    <w:semiHidden/>
    <w:unhideWhenUsed/>
    <w:rsid w:val="00DA46CC"/>
    <w:rPr>
      <w:sz w:val="20"/>
    </w:rPr>
  </w:style>
  <w:style w:type="character" w:customStyle="1" w:styleId="MerknadstekstTegn">
    <w:name w:val="Merknadstekst Tegn"/>
    <w:basedOn w:val="Standardskriftforavsnitt"/>
    <w:link w:val="Merknadstekst"/>
    <w:uiPriority w:val="99"/>
    <w:semiHidden/>
    <w:rsid w:val="00DA46CC"/>
  </w:style>
  <w:style w:type="paragraph" w:styleId="Kommentaremne">
    <w:name w:val="annotation subject"/>
    <w:basedOn w:val="Merknadstekst"/>
    <w:next w:val="Merknadstekst"/>
    <w:link w:val="KommentaremneTegn"/>
    <w:uiPriority w:val="99"/>
    <w:semiHidden/>
    <w:unhideWhenUsed/>
    <w:rsid w:val="00DA46CC"/>
    <w:rPr>
      <w:b/>
      <w:bCs/>
    </w:rPr>
  </w:style>
  <w:style w:type="character" w:customStyle="1" w:styleId="KommentaremneTegn">
    <w:name w:val="Kommentaremne Tegn"/>
    <w:link w:val="Kommentaremne"/>
    <w:uiPriority w:val="99"/>
    <w:semiHidden/>
    <w:rsid w:val="00DA4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071476">
      <w:bodyDiv w:val="1"/>
      <w:marLeft w:val="0"/>
      <w:marRight w:val="0"/>
      <w:marTop w:val="0"/>
      <w:marBottom w:val="0"/>
      <w:divBdr>
        <w:top w:val="none" w:sz="0" w:space="0" w:color="auto"/>
        <w:left w:val="none" w:sz="0" w:space="0" w:color="auto"/>
        <w:bottom w:val="none" w:sz="0" w:space="0" w:color="auto"/>
        <w:right w:val="none" w:sz="0" w:space="0" w:color="auto"/>
      </w:divBdr>
    </w:div>
    <w:div w:id="1665158264">
      <w:bodyDiv w:val="1"/>
      <w:marLeft w:val="0"/>
      <w:marRight w:val="0"/>
      <w:marTop w:val="0"/>
      <w:marBottom w:val="0"/>
      <w:divBdr>
        <w:top w:val="none" w:sz="0" w:space="0" w:color="auto"/>
        <w:left w:val="none" w:sz="0" w:space="0" w:color="auto"/>
        <w:bottom w:val="none" w:sz="0" w:space="0" w:color="auto"/>
        <w:right w:val="none" w:sz="0" w:space="0" w:color="auto"/>
      </w:divBdr>
    </w:div>
    <w:div w:id="17908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mottak@riksadvokaten.n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E302C-443A-4B51-8BCE-59EB747C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6461</Words>
  <Characters>34249</Characters>
  <Application>Microsoft Office Word</Application>
  <DocSecurity>0</DocSecurity>
  <Lines>285</Lines>
  <Paragraphs>81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Klikk her, og skriv inn mottakerens navn og adresse</vt:lpstr>
      <vt:lpstr>Klikk her, og skriv inn mottakerens navn og adresse</vt:lpstr>
    </vt:vector>
  </TitlesOfParts>
  <Company>Gjensidige</Company>
  <LinksUpToDate>false</LinksUpToDate>
  <CharactersWithSpaces>40629</CharactersWithSpaces>
  <SharedDoc>false</SharedDoc>
  <HLinks>
    <vt:vector size="6" baseType="variant">
      <vt:variant>
        <vt:i4>852016</vt:i4>
      </vt:variant>
      <vt:variant>
        <vt:i4>0</vt:i4>
      </vt:variant>
      <vt:variant>
        <vt:i4>0</vt:i4>
      </vt:variant>
      <vt:variant>
        <vt:i4>5</vt:i4>
      </vt:variant>
      <vt:variant>
        <vt:lpwstr>mailto:postmottak@riksadvokaten.no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Klikk her, og skriv inn mottakerens navn og adresse</dc:title>
  <dc:subject/>
  <dc:creator>Ina Lindahl Nyrud</dc:creator>
  <cp:keywords/>
  <cp:lastModifiedBy>Nils Øy</cp:lastModifiedBy>
  <cp:revision>2</cp:revision>
  <cp:lastPrinted>2017-02-24T13:35:00Z</cp:lastPrinted>
  <dcterms:created xsi:type="dcterms:W3CDTF">2017-03-01T10:46:00Z</dcterms:created>
  <dcterms:modified xsi:type="dcterms:W3CDTF">2017-03-01T10:46:00Z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