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22" w:rsidRDefault="00735422" w:rsidP="00735422">
      <w:pPr>
        <w:spacing w:after="120"/>
      </w:pPr>
      <w:r>
        <w:rPr>
          <w:b/>
          <w:noProof/>
          <w:sz w:val="28"/>
          <w:szCs w:val="28"/>
        </w:rPr>
        <w:drawing>
          <wp:inline distT="0" distB="0" distL="0" distR="0">
            <wp:extent cx="1419225" cy="476250"/>
            <wp:effectExtent l="0" t="0" r="0" b="0"/>
            <wp:docPr id="1" name="Bilde 1" descr="norsk_presseforbund_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sk_presseforbund_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933575" cy="361950"/>
            <wp:effectExtent l="0" t="0" r="0" b="0"/>
            <wp:docPr id="2" name="Bilde 5" descr="njlogo2014_black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5" descr="njlogo2014_black_r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962150" cy="476250"/>
            <wp:effectExtent l="0" t="0" r="0" b="0"/>
            <wp:docPr id="3" name="Bilde 3" descr="Norsk Redaktørforening-logo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sk Redaktørforening-logo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422" w:rsidRPr="00347C75" w:rsidRDefault="00735422" w:rsidP="00735422">
      <w:pPr>
        <w:rPr>
          <w:rFonts w:ascii="Calibri Light" w:hAnsi="Calibri Light"/>
          <w:szCs w:val="24"/>
        </w:rPr>
      </w:pPr>
    </w:p>
    <w:p w:rsidR="00735422" w:rsidRDefault="00735422" w:rsidP="00735422">
      <w:pPr>
        <w:rPr>
          <w:rFonts w:ascii="Calibri Light" w:hAnsi="Calibri Light"/>
          <w:szCs w:val="24"/>
        </w:rPr>
      </w:pPr>
    </w:p>
    <w:p w:rsidR="00735422" w:rsidRDefault="00735422" w:rsidP="00735422">
      <w:pPr>
        <w:rPr>
          <w:rFonts w:ascii="Calibri Light" w:hAnsi="Calibri Light"/>
          <w:szCs w:val="24"/>
        </w:rPr>
      </w:pPr>
    </w:p>
    <w:p w:rsidR="00735422" w:rsidRDefault="00735422" w:rsidP="00735422">
      <w:pPr>
        <w:rPr>
          <w:rFonts w:ascii="Calibri Light" w:hAnsi="Calibri Light"/>
          <w:szCs w:val="24"/>
        </w:rPr>
      </w:pPr>
      <w:r w:rsidRPr="00347C75">
        <w:rPr>
          <w:rFonts w:ascii="Calibri Light" w:hAnsi="Calibri Light"/>
          <w:szCs w:val="24"/>
        </w:rPr>
        <w:t xml:space="preserve">Til </w:t>
      </w:r>
    </w:p>
    <w:p w:rsidR="00735422" w:rsidRPr="00347C75" w:rsidRDefault="00735422" w:rsidP="00735422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t>Kunnskapsdepartementet</w:t>
      </w:r>
    </w:p>
    <w:p w:rsidR="00735422" w:rsidRDefault="00735422" w:rsidP="00735422">
      <w:pPr>
        <w:rPr>
          <w:rFonts w:ascii="Calibri Light" w:hAnsi="Calibri Light"/>
          <w:szCs w:val="24"/>
        </w:rPr>
      </w:pPr>
    </w:p>
    <w:p w:rsidR="00C51B49" w:rsidRDefault="00C51B49" w:rsidP="00735422">
      <w:pPr>
        <w:rPr>
          <w:rFonts w:ascii="Calibri Light" w:hAnsi="Calibri Light"/>
          <w:szCs w:val="24"/>
        </w:rPr>
      </w:pPr>
      <w:r>
        <w:rPr>
          <w:color w:val="0000FF"/>
          <w:sz w:val="23"/>
          <w:u w:val="single" w:color="0000FF"/>
        </w:rPr>
        <w:t>postmottak@kd.dep.no</w:t>
      </w:r>
    </w:p>
    <w:p w:rsidR="00735422" w:rsidRDefault="00735422" w:rsidP="00735422">
      <w:pPr>
        <w:rPr>
          <w:rFonts w:ascii="Calibri Light" w:hAnsi="Calibri Light"/>
          <w:szCs w:val="24"/>
        </w:rPr>
      </w:pPr>
    </w:p>
    <w:p w:rsidR="00735422" w:rsidRDefault="00735422" w:rsidP="00735422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tab/>
      </w:r>
      <w:r>
        <w:rPr>
          <w:rFonts w:ascii="Calibri Light" w:hAnsi="Calibri Light"/>
          <w:szCs w:val="24"/>
        </w:rPr>
        <w:tab/>
      </w:r>
      <w:r>
        <w:rPr>
          <w:rFonts w:ascii="Calibri Light" w:hAnsi="Calibri Light"/>
          <w:szCs w:val="24"/>
        </w:rPr>
        <w:tab/>
      </w:r>
      <w:r>
        <w:rPr>
          <w:rFonts w:ascii="Calibri Light" w:hAnsi="Calibri Light"/>
          <w:szCs w:val="24"/>
        </w:rPr>
        <w:tab/>
      </w:r>
      <w:r>
        <w:rPr>
          <w:rFonts w:ascii="Calibri Light" w:hAnsi="Calibri Light"/>
          <w:szCs w:val="24"/>
        </w:rPr>
        <w:tab/>
      </w:r>
    </w:p>
    <w:p w:rsidR="00735422" w:rsidRPr="00347C75" w:rsidRDefault="004A2A4A" w:rsidP="00735422">
      <w:pPr>
        <w:ind w:left="6372" w:firstLine="708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t>Oslo, 6</w:t>
      </w:r>
      <w:r w:rsidR="00735422" w:rsidRPr="00347C75">
        <w:rPr>
          <w:rFonts w:ascii="Calibri Light" w:hAnsi="Calibri Light"/>
          <w:szCs w:val="24"/>
        </w:rPr>
        <w:t>.11.2016</w:t>
      </w:r>
    </w:p>
    <w:p w:rsidR="00735422" w:rsidRDefault="00735422" w:rsidP="00735422">
      <w:pPr>
        <w:rPr>
          <w:rFonts w:ascii="Calibri Light" w:hAnsi="Calibri Light"/>
          <w:szCs w:val="24"/>
        </w:rPr>
      </w:pPr>
    </w:p>
    <w:p w:rsidR="00735422" w:rsidRPr="00F46DE6" w:rsidRDefault="00735422" w:rsidP="00735422">
      <w:pPr>
        <w:rPr>
          <w:rFonts w:ascii="Calibri Light" w:hAnsi="Calibri Light"/>
          <w:sz w:val="20"/>
          <w:szCs w:val="24"/>
        </w:rPr>
      </w:pPr>
      <w:r w:rsidRPr="00F46DE6">
        <w:rPr>
          <w:rFonts w:ascii="Calibri Light" w:hAnsi="Calibri Light"/>
          <w:sz w:val="20"/>
          <w:szCs w:val="24"/>
        </w:rPr>
        <w:t xml:space="preserve">Deres referanse: </w:t>
      </w:r>
      <w:r>
        <w:rPr>
          <w:sz w:val="16"/>
        </w:rPr>
        <w:t xml:space="preserve">16/5816  </w:t>
      </w:r>
    </w:p>
    <w:p w:rsidR="00735422" w:rsidRPr="00347C75" w:rsidRDefault="00735422" w:rsidP="00735422">
      <w:pPr>
        <w:rPr>
          <w:rFonts w:ascii="Calibri Light" w:hAnsi="Calibri Light"/>
          <w:szCs w:val="24"/>
        </w:rPr>
      </w:pPr>
    </w:p>
    <w:p w:rsidR="00735422" w:rsidRDefault="00735422" w:rsidP="00735422">
      <w:pPr>
        <w:pStyle w:val="Overskrift2"/>
        <w:rPr>
          <w:rFonts w:asciiTheme="majorHAnsi" w:hAnsiTheme="majorHAnsi"/>
          <w:sz w:val="24"/>
          <w:szCs w:val="24"/>
        </w:rPr>
      </w:pPr>
      <w:bookmarkStart w:id="0" w:name="Tittel"/>
      <w:bookmarkEnd w:id="0"/>
    </w:p>
    <w:p w:rsidR="00735422" w:rsidRDefault="00735422" w:rsidP="00735422">
      <w:pPr>
        <w:pStyle w:val="Overskrift2"/>
        <w:rPr>
          <w:rFonts w:asciiTheme="majorHAnsi" w:hAnsiTheme="majorHAnsi"/>
          <w:sz w:val="24"/>
          <w:szCs w:val="24"/>
        </w:rPr>
      </w:pPr>
    </w:p>
    <w:p w:rsidR="00735422" w:rsidRPr="00735422" w:rsidRDefault="00735422" w:rsidP="00735422"/>
    <w:p w:rsidR="00735422" w:rsidRPr="00F6267F" w:rsidRDefault="00735422" w:rsidP="00735422">
      <w:pPr>
        <w:pStyle w:val="Overskrift2"/>
        <w:rPr>
          <w:rFonts w:ascii="Bookman Old Style" w:hAnsi="Bookman Old Style"/>
          <w:b w:val="0"/>
          <w:sz w:val="26"/>
          <w:szCs w:val="26"/>
        </w:rPr>
      </w:pPr>
      <w:r w:rsidRPr="00F6267F">
        <w:rPr>
          <w:rFonts w:ascii="Bookman Old Style" w:hAnsi="Bookman Old Style"/>
          <w:b w:val="0"/>
          <w:sz w:val="26"/>
          <w:szCs w:val="26"/>
        </w:rPr>
        <w:t>Høring – nasjonale retningslinjer for åpen tilgang til forskningsresultater</w:t>
      </w:r>
    </w:p>
    <w:p w:rsidR="00735422" w:rsidRPr="00F6267F" w:rsidRDefault="00735422" w:rsidP="00735422">
      <w:pPr>
        <w:rPr>
          <w:rFonts w:ascii="Bookman Old Style" w:hAnsi="Bookman Old Style"/>
          <w:sz w:val="26"/>
          <w:szCs w:val="26"/>
        </w:rPr>
      </w:pPr>
    </w:p>
    <w:p w:rsidR="00735422" w:rsidRPr="00F6267F" w:rsidRDefault="00735422" w:rsidP="00735422">
      <w:p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 w:cs="Arial"/>
          <w:sz w:val="22"/>
          <w:szCs w:val="22"/>
          <w:lang w:eastAsia="en-US"/>
        </w:rPr>
        <w:t>Norsk Presseforbund (NP) er fellesorganet for norske medier i etiske og redaksjonelt faglige spørsmål. Norsk Redaktørforening (NR) er en landsomfattende sammenslutning av redaktører i alle typer medier. Norsk Journalistlag (NJ) er organisasjonen for redaksjonelle medarbeidere, herunder ledere og frilansere som har journalistikk som yrke.</w:t>
      </w:r>
    </w:p>
    <w:p w:rsidR="00735422" w:rsidRPr="00F6267F" w:rsidRDefault="00735422" w:rsidP="00735422">
      <w:pPr>
        <w:rPr>
          <w:rFonts w:ascii="Bookman Old Style" w:hAnsi="Bookman Old Style"/>
          <w:sz w:val="22"/>
          <w:szCs w:val="22"/>
        </w:rPr>
      </w:pPr>
    </w:p>
    <w:p w:rsidR="00110214" w:rsidRPr="00F6267F" w:rsidRDefault="00735422">
      <w:p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>Vi viser til høringsbrev av 5. juli 2016, med invitasjon til synspunkter på rapporten om «Nasjonale retningslinjer for åpen tilgang til forskningsresultater».</w:t>
      </w:r>
      <w:r w:rsidR="001366E3" w:rsidRPr="00F6267F">
        <w:rPr>
          <w:rFonts w:ascii="Bookman Old Style" w:hAnsi="Bookman Old Style"/>
          <w:sz w:val="22"/>
          <w:szCs w:val="22"/>
        </w:rPr>
        <w:t xml:space="preserve"> Vi beklager at vårt svar kommer etter den primære frist som var satt, men håper likevel at departementet ta</w:t>
      </w:r>
      <w:r w:rsidR="001F7D7A" w:rsidRPr="00F6267F">
        <w:rPr>
          <w:rFonts w:ascii="Bookman Old Style" w:hAnsi="Bookman Old Style"/>
          <w:sz w:val="22"/>
          <w:szCs w:val="22"/>
        </w:rPr>
        <w:t>r våre synspunkter med i sine</w:t>
      </w:r>
      <w:r w:rsidR="001366E3" w:rsidRPr="00F6267F">
        <w:rPr>
          <w:rFonts w:ascii="Bookman Old Style" w:hAnsi="Bookman Old Style"/>
          <w:sz w:val="22"/>
          <w:szCs w:val="22"/>
        </w:rPr>
        <w:t xml:space="preserve"> vurdering</w:t>
      </w:r>
      <w:r w:rsidR="001F7D7A" w:rsidRPr="00F6267F">
        <w:rPr>
          <w:rFonts w:ascii="Bookman Old Style" w:hAnsi="Bookman Old Style"/>
          <w:sz w:val="22"/>
          <w:szCs w:val="22"/>
        </w:rPr>
        <w:t>er</w:t>
      </w:r>
      <w:r w:rsidR="001366E3" w:rsidRPr="00F6267F">
        <w:rPr>
          <w:rFonts w:ascii="Bookman Old Style" w:hAnsi="Bookman Old Style"/>
          <w:sz w:val="22"/>
          <w:szCs w:val="22"/>
        </w:rPr>
        <w:t xml:space="preserve"> i det videre arbeid.</w:t>
      </w:r>
    </w:p>
    <w:p w:rsidR="001F7D7A" w:rsidRDefault="001F7D7A">
      <w:pPr>
        <w:rPr>
          <w:rFonts w:ascii="Bookman Old Style" w:hAnsi="Bookman Old Style"/>
          <w:sz w:val="22"/>
          <w:szCs w:val="22"/>
        </w:rPr>
      </w:pPr>
    </w:p>
    <w:p w:rsidR="004F491F" w:rsidRDefault="004F491F">
      <w:pPr>
        <w:rPr>
          <w:rFonts w:ascii="Bookman Old Style" w:hAnsi="Bookman Old Style"/>
          <w:sz w:val="22"/>
          <w:szCs w:val="22"/>
        </w:rPr>
      </w:pPr>
    </w:p>
    <w:p w:rsidR="004F491F" w:rsidRDefault="004F491F">
      <w:pPr>
        <w:rPr>
          <w:rFonts w:ascii="Bookman Old Style" w:hAnsi="Bookman Old Style"/>
          <w:sz w:val="22"/>
          <w:szCs w:val="22"/>
        </w:rPr>
      </w:pPr>
    </w:p>
    <w:p w:rsidR="004F491F" w:rsidRPr="00F6267F" w:rsidRDefault="004F491F">
      <w:pPr>
        <w:rPr>
          <w:rFonts w:ascii="Bookman Old Style" w:hAnsi="Bookman Old Style"/>
          <w:sz w:val="22"/>
          <w:szCs w:val="22"/>
        </w:rPr>
      </w:pPr>
    </w:p>
    <w:p w:rsidR="001F7D7A" w:rsidRPr="00F6267F" w:rsidRDefault="002C709E">
      <w:pPr>
        <w:rPr>
          <w:rFonts w:ascii="Bookman Old Style" w:hAnsi="Bookman Old Style"/>
          <w:b/>
          <w:sz w:val="22"/>
          <w:szCs w:val="22"/>
        </w:rPr>
      </w:pPr>
      <w:r w:rsidRPr="00F6267F">
        <w:rPr>
          <w:rFonts w:ascii="Bookman Old Style" w:hAnsi="Bookman Old Style"/>
          <w:b/>
          <w:sz w:val="22"/>
          <w:szCs w:val="22"/>
        </w:rPr>
        <w:t>Generelt</w:t>
      </w:r>
    </w:p>
    <w:p w:rsidR="002C709E" w:rsidRPr="00F6267F" w:rsidRDefault="002C709E">
      <w:pPr>
        <w:rPr>
          <w:rFonts w:ascii="Bookman Old Style" w:hAnsi="Bookman Old Style"/>
          <w:sz w:val="22"/>
          <w:szCs w:val="22"/>
        </w:rPr>
      </w:pPr>
    </w:p>
    <w:p w:rsidR="00664119" w:rsidRPr="00F6267F" w:rsidRDefault="001F7D7A">
      <w:p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>Våre organisasjoner gir i hovedsak støtte til de overordnede intensjoner om å gjøre forskningsresultater best og mest mulig åpent tilgjengelige. I likhet med Norsk faglitterær forfatter- og oversetterforening (NFF)</w:t>
      </w:r>
      <w:r w:rsidR="008E4F83" w:rsidRPr="00F6267F">
        <w:rPr>
          <w:rFonts w:ascii="Bookman Old Style" w:hAnsi="Bookman Old Style"/>
          <w:sz w:val="22"/>
          <w:szCs w:val="22"/>
        </w:rPr>
        <w:t xml:space="preserve"> mener vi </w:t>
      </w:r>
      <w:r w:rsidR="00664119" w:rsidRPr="00F6267F">
        <w:rPr>
          <w:rFonts w:ascii="Bookman Old Style" w:hAnsi="Bookman Old Style"/>
          <w:sz w:val="22"/>
          <w:szCs w:val="22"/>
        </w:rPr>
        <w:t xml:space="preserve">imidlertid </w:t>
      </w:r>
      <w:r w:rsidR="008E4F83" w:rsidRPr="00F6267F">
        <w:rPr>
          <w:rFonts w:ascii="Bookman Old Style" w:hAnsi="Bookman Old Style"/>
          <w:sz w:val="22"/>
          <w:szCs w:val="22"/>
        </w:rPr>
        <w:t xml:space="preserve">at det er flere forhold som rapporten ikke berører. Vi er derfor også enig </w:t>
      </w:r>
      <w:r w:rsidR="00664119" w:rsidRPr="00F6267F">
        <w:rPr>
          <w:rFonts w:ascii="Bookman Old Style" w:hAnsi="Bookman Old Style"/>
          <w:sz w:val="22"/>
          <w:szCs w:val="22"/>
        </w:rPr>
        <w:t xml:space="preserve">med NFF </w:t>
      </w:r>
      <w:r w:rsidR="008E4F83" w:rsidRPr="00F6267F">
        <w:rPr>
          <w:rFonts w:ascii="Bookman Old Style" w:hAnsi="Bookman Old Style"/>
          <w:sz w:val="22"/>
          <w:szCs w:val="22"/>
        </w:rPr>
        <w:t>i at rapporten ikke umiddelbart bør legges til grunn for regjeringens politikk</w:t>
      </w:r>
      <w:r w:rsidR="00664119" w:rsidRPr="00F6267F">
        <w:rPr>
          <w:rFonts w:ascii="Bookman Old Style" w:hAnsi="Bookman Old Style"/>
          <w:sz w:val="22"/>
          <w:szCs w:val="22"/>
        </w:rPr>
        <w:t>, og i alle fall ikke i det hastverkpregede tempo som rapporten synes å legge opp til.</w:t>
      </w:r>
    </w:p>
    <w:p w:rsidR="00664119" w:rsidRPr="00F6267F" w:rsidRDefault="00664119">
      <w:pPr>
        <w:rPr>
          <w:rFonts w:ascii="Bookman Old Style" w:hAnsi="Bookman Old Style"/>
          <w:sz w:val="22"/>
          <w:szCs w:val="22"/>
        </w:rPr>
      </w:pPr>
    </w:p>
    <w:p w:rsidR="004F491F" w:rsidRDefault="004F491F">
      <w:pPr>
        <w:rPr>
          <w:rFonts w:ascii="Bookman Old Style" w:hAnsi="Bookman Old Style"/>
          <w:b/>
          <w:sz w:val="22"/>
          <w:szCs w:val="22"/>
        </w:rPr>
      </w:pPr>
    </w:p>
    <w:p w:rsidR="002C709E" w:rsidRPr="00F6267F" w:rsidRDefault="002C709E">
      <w:pPr>
        <w:rPr>
          <w:rFonts w:ascii="Bookman Old Style" w:hAnsi="Bookman Old Style"/>
          <w:b/>
          <w:sz w:val="22"/>
          <w:szCs w:val="22"/>
        </w:rPr>
      </w:pPr>
      <w:r w:rsidRPr="00F6267F">
        <w:rPr>
          <w:rFonts w:ascii="Bookman Old Style" w:hAnsi="Bookman Old Style"/>
          <w:b/>
          <w:sz w:val="22"/>
          <w:szCs w:val="22"/>
        </w:rPr>
        <w:lastRenderedPageBreak/>
        <w:t>Nasjonale retningslinjer</w:t>
      </w:r>
    </w:p>
    <w:p w:rsidR="002C709E" w:rsidRPr="00F6267F" w:rsidRDefault="002C709E">
      <w:pPr>
        <w:rPr>
          <w:rFonts w:ascii="Bookman Old Style" w:hAnsi="Bookman Old Style"/>
          <w:sz w:val="22"/>
          <w:szCs w:val="22"/>
        </w:rPr>
      </w:pPr>
    </w:p>
    <w:p w:rsidR="00664119" w:rsidRPr="00F6267F" w:rsidRDefault="00664119">
      <w:p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>NFF etterlyste tre andre retningslinjer i tillegg til de sju som er listet opp i rapporten:</w:t>
      </w:r>
    </w:p>
    <w:p w:rsidR="00664119" w:rsidRPr="00F6267F" w:rsidRDefault="00664119">
      <w:pPr>
        <w:rPr>
          <w:rFonts w:ascii="Bookman Old Style" w:hAnsi="Bookman Old Style"/>
          <w:sz w:val="22"/>
          <w:szCs w:val="22"/>
        </w:rPr>
      </w:pPr>
    </w:p>
    <w:p w:rsidR="001F7D7A" w:rsidRPr="00F6267F" w:rsidRDefault="00AD4C20" w:rsidP="00664119">
      <w:pPr>
        <w:pStyle w:val="Listeavsnitt"/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>Språkpolitikk: Overgang til åpen tilgang skal ikke føre til at det norske språk, som vitenskaps- og fagspråk svekkes m.v.</w:t>
      </w:r>
    </w:p>
    <w:p w:rsidR="00AD4C20" w:rsidRPr="00F6267F" w:rsidRDefault="00AD4C20" w:rsidP="00664119">
      <w:pPr>
        <w:pStyle w:val="Listeavsnitt"/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 xml:space="preserve">Offentlighetspolitikk: Overgangen skal bidra til økt mangfold og kvalitet i norsk </w:t>
      </w:r>
      <w:proofErr w:type="spellStart"/>
      <w:r w:rsidRPr="00F6267F">
        <w:rPr>
          <w:rFonts w:ascii="Bookman Old Style" w:hAnsi="Bookman Old Style"/>
          <w:sz w:val="22"/>
          <w:szCs w:val="22"/>
        </w:rPr>
        <w:t>tidsskrift-flora</w:t>
      </w:r>
      <w:proofErr w:type="spellEnd"/>
      <w:r w:rsidRPr="00F6267F">
        <w:rPr>
          <w:rFonts w:ascii="Bookman Old Style" w:hAnsi="Bookman Old Style"/>
          <w:sz w:val="22"/>
          <w:szCs w:val="22"/>
        </w:rPr>
        <w:t>, både blant vitenskapelige og de mer allmenne, fag- og kunnskapsformidlende tidsskrifter i Norge.</w:t>
      </w:r>
    </w:p>
    <w:p w:rsidR="00AD4C20" w:rsidRPr="00F6267F" w:rsidRDefault="00AD4C20" w:rsidP="00664119">
      <w:pPr>
        <w:pStyle w:val="Listeavsnitt"/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>Opphavsrett: Overgangen skal skje i harmoni og samvirke med intensjoner og virkemidler i europeisk opphavsrett.</w:t>
      </w:r>
    </w:p>
    <w:p w:rsidR="00AD4C20" w:rsidRPr="00F6267F" w:rsidRDefault="00AD4C20" w:rsidP="00AD4C20">
      <w:pPr>
        <w:rPr>
          <w:rFonts w:ascii="Bookman Old Style" w:hAnsi="Bookman Old Style"/>
          <w:sz w:val="22"/>
          <w:szCs w:val="22"/>
        </w:rPr>
      </w:pPr>
    </w:p>
    <w:p w:rsidR="00AD4C20" w:rsidRPr="00F6267F" w:rsidRDefault="00AD4C20" w:rsidP="00AD4C20">
      <w:p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>Vi er slutter oss til forslaget fra NFF, selv om vi kunne ønske oss at «offentlighets</w:t>
      </w:r>
      <w:r w:rsidR="002C709E" w:rsidRPr="00F6267F">
        <w:rPr>
          <w:rFonts w:ascii="Bookman Old Style" w:hAnsi="Bookman Old Style"/>
          <w:sz w:val="22"/>
          <w:szCs w:val="22"/>
        </w:rPr>
        <w:softHyphen/>
      </w:r>
      <w:r w:rsidRPr="00F6267F">
        <w:rPr>
          <w:rFonts w:ascii="Bookman Old Style" w:hAnsi="Bookman Old Style"/>
          <w:sz w:val="22"/>
          <w:szCs w:val="22"/>
        </w:rPr>
        <w:t xml:space="preserve">politikk» som nøkkelord blir byttet ut med «mediepolitikk» eller «publikasjonspolitikk», og at </w:t>
      </w:r>
      <w:r w:rsidRPr="00F6267F">
        <w:rPr>
          <w:rFonts w:ascii="Bookman Old Style" w:hAnsi="Bookman Old Style"/>
          <w:b/>
          <w:sz w:val="22"/>
          <w:szCs w:val="22"/>
        </w:rPr>
        <w:t>et fjerde punkt «Offentlighets-» eller «</w:t>
      </w:r>
      <w:proofErr w:type="spellStart"/>
      <w:r w:rsidRPr="00F6267F">
        <w:rPr>
          <w:rFonts w:ascii="Bookman Old Style" w:hAnsi="Bookman Old Style"/>
          <w:b/>
          <w:sz w:val="22"/>
          <w:szCs w:val="22"/>
        </w:rPr>
        <w:t>Innsynspolitikk</w:t>
      </w:r>
      <w:proofErr w:type="spellEnd"/>
      <w:r w:rsidRPr="00F6267F">
        <w:rPr>
          <w:rFonts w:ascii="Bookman Old Style" w:hAnsi="Bookman Old Style"/>
          <w:b/>
          <w:sz w:val="22"/>
          <w:szCs w:val="22"/>
        </w:rPr>
        <w:t>»</w:t>
      </w:r>
      <w:r w:rsidRPr="00F6267F">
        <w:rPr>
          <w:rFonts w:ascii="Bookman Old Style" w:hAnsi="Bookman Old Style"/>
          <w:sz w:val="22"/>
          <w:szCs w:val="22"/>
        </w:rPr>
        <w:t xml:space="preserve"> blir føyd til.</w:t>
      </w:r>
      <w:r w:rsidR="002C709E" w:rsidRPr="00F6267F">
        <w:rPr>
          <w:rFonts w:ascii="Bookman Old Style" w:hAnsi="Bookman Old Style"/>
          <w:sz w:val="22"/>
          <w:szCs w:val="22"/>
        </w:rPr>
        <w:t xml:space="preserve"> Åpen tilgang til forskning bør ikke bare handle om artikler og om hvor de publiseres.</w:t>
      </w:r>
    </w:p>
    <w:p w:rsidR="00AD4C20" w:rsidRPr="00F6267F" w:rsidRDefault="00AD4C20" w:rsidP="00AD4C20">
      <w:pPr>
        <w:rPr>
          <w:rFonts w:ascii="Bookman Old Style" w:hAnsi="Bookman Old Style"/>
          <w:sz w:val="22"/>
          <w:szCs w:val="22"/>
        </w:rPr>
      </w:pPr>
    </w:p>
    <w:p w:rsidR="00AD4C20" w:rsidRPr="00F6267F" w:rsidRDefault="002C709E" w:rsidP="00AD4C20">
      <w:p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>Vår</w:t>
      </w:r>
      <w:r w:rsidR="00AD4C20" w:rsidRPr="00F6267F">
        <w:rPr>
          <w:rFonts w:ascii="Bookman Old Style" w:hAnsi="Bookman Old Style"/>
          <w:sz w:val="22"/>
          <w:szCs w:val="22"/>
        </w:rPr>
        <w:t xml:space="preserve">t fjerde punkt handler om </w:t>
      </w:r>
      <w:r w:rsidR="003665DF" w:rsidRPr="00F6267F">
        <w:rPr>
          <w:rFonts w:ascii="Bookman Old Style" w:hAnsi="Bookman Old Style"/>
          <w:sz w:val="22"/>
          <w:szCs w:val="22"/>
        </w:rPr>
        <w:t xml:space="preserve">dokumentinnsyn i forskningsresultater, når disse foreligger i offentlig virksomhet som omfattes av </w:t>
      </w:r>
      <w:r w:rsidR="003665DF" w:rsidRPr="00F6267F">
        <w:rPr>
          <w:rFonts w:ascii="Bookman Old Style" w:hAnsi="Bookman Old Style"/>
          <w:i/>
          <w:sz w:val="22"/>
          <w:szCs w:val="22"/>
        </w:rPr>
        <w:t xml:space="preserve">Lov om innsyn i dokument i </w:t>
      </w:r>
      <w:proofErr w:type="spellStart"/>
      <w:r w:rsidR="003665DF" w:rsidRPr="00F6267F">
        <w:rPr>
          <w:rFonts w:ascii="Bookman Old Style" w:hAnsi="Bookman Old Style"/>
          <w:i/>
          <w:sz w:val="22"/>
          <w:szCs w:val="22"/>
        </w:rPr>
        <w:t>offentleg</w:t>
      </w:r>
      <w:proofErr w:type="spellEnd"/>
      <w:r w:rsidR="003665DF" w:rsidRPr="00F6267F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="003665DF" w:rsidRPr="00F6267F">
        <w:rPr>
          <w:rFonts w:ascii="Bookman Old Style" w:hAnsi="Bookman Old Style"/>
          <w:i/>
          <w:sz w:val="22"/>
          <w:szCs w:val="22"/>
        </w:rPr>
        <w:t>verksemd</w:t>
      </w:r>
      <w:proofErr w:type="spellEnd"/>
      <w:r w:rsidR="003665DF" w:rsidRPr="00F6267F">
        <w:rPr>
          <w:rFonts w:ascii="Bookman Old Style" w:hAnsi="Bookman Old Style"/>
          <w:sz w:val="22"/>
          <w:szCs w:val="22"/>
        </w:rPr>
        <w:t xml:space="preserve"> (offentleglova), og annen lovgivning eller offisielle retningslinjer for åpenhet i forskningen.</w:t>
      </w:r>
    </w:p>
    <w:p w:rsidR="002C709E" w:rsidRPr="00F6267F" w:rsidRDefault="002C709E" w:rsidP="00AD4C20">
      <w:pPr>
        <w:rPr>
          <w:rFonts w:ascii="Bookman Old Style" w:hAnsi="Bookman Old Style"/>
          <w:sz w:val="22"/>
          <w:szCs w:val="22"/>
        </w:rPr>
      </w:pPr>
    </w:p>
    <w:p w:rsidR="002C709E" w:rsidRPr="00F6267F" w:rsidRDefault="002C709E" w:rsidP="00AD4C20">
      <w:p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 xml:space="preserve">Tilgang til opplysninger om forskningsvirksomhet og forskningsresultater er viktig også når forskning planlegges og når den pågår, og derfor bør </w:t>
      </w:r>
      <w:proofErr w:type="spellStart"/>
      <w:r w:rsidRPr="00F6267F">
        <w:rPr>
          <w:rFonts w:ascii="Bookman Old Style" w:hAnsi="Bookman Old Style"/>
          <w:sz w:val="22"/>
          <w:szCs w:val="22"/>
        </w:rPr>
        <w:t>innsynsmuligheter</w:t>
      </w:r>
      <w:proofErr w:type="spellEnd"/>
      <w:r w:rsidRPr="00F6267F">
        <w:rPr>
          <w:rFonts w:ascii="Bookman Old Style" w:hAnsi="Bookman Old Style"/>
          <w:sz w:val="22"/>
          <w:szCs w:val="22"/>
        </w:rPr>
        <w:t xml:space="preserve"> og rettighetene på dette området høre med i et sett av nasjonale retningslinjer for åpenhet om forskning. </w:t>
      </w:r>
    </w:p>
    <w:p w:rsidR="003665DF" w:rsidRPr="00F6267F" w:rsidRDefault="003665DF" w:rsidP="00AD4C20">
      <w:pPr>
        <w:rPr>
          <w:rFonts w:ascii="Bookman Old Style" w:hAnsi="Bookman Old Style"/>
          <w:sz w:val="22"/>
          <w:szCs w:val="22"/>
        </w:rPr>
      </w:pPr>
    </w:p>
    <w:p w:rsidR="003665DF" w:rsidRPr="00F6267F" w:rsidRDefault="003665DF" w:rsidP="00AD4C20">
      <w:p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>I forvaltningen og andre virksomheter som omfattes av lov om dokume</w:t>
      </w:r>
      <w:r w:rsidR="009474C8" w:rsidRPr="00F6267F">
        <w:rPr>
          <w:rFonts w:ascii="Bookman Old Style" w:hAnsi="Bookman Old Style"/>
          <w:sz w:val="22"/>
          <w:szCs w:val="22"/>
        </w:rPr>
        <w:t>ntinnsyn rår det uklar</w:t>
      </w:r>
      <w:r w:rsidRPr="00F6267F">
        <w:rPr>
          <w:rFonts w:ascii="Bookman Old Style" w:hAnsi="Bookman Old Style"/>
          <w:sz w:val="22"/>
          <w:szCs w:val="22"/>
        </w:rPr>
        <w:t>het når det kommer til vurdering av</w:t>
      </w:r>
      <w:r w:rsidR="009474C8" w:rsidRPr="00F6267F">
        <w:rPr>
          <w:rFonts w:ascii="Bookman Old Style" w:hAnsi="Bookman Old Style"/>
          <w:sz w:val="22"/>
          <w:szCs w:val="22"/>
        </w:rPr>
        <w:t xml:space="preserve"> innsynskrav i ulike forskningsdokumenter, enten de utføres</w:t>
      </w:r>
      <w:r w:rsidRPr="00F6267F">
        <w:rPr>
          <w:rFonts w:ascii="Bookman Old Style" w:hAnsi="Bookman Old Style"/>
          <w:sz w:val="22"/>
          <w:szCs w:val="22"/>
        </w:rPr>
        <w:t xml:space="preserve"> innen et offentlig organ eller de er bestilt og betalt av det offentlige organ. Norsk </w:t>
      </w:r>
      <w:proofErr w:type="spellStart"/>
      <w:r w:rsidRPr="00F6267F">
        <w:rPr>
          <w:rFonts w:ascii="Bookman Old Style" w:hAnsi="Bookman Old Style"/>
          <w:sz w:val="22"/>
          <w:szCs w:val="22"/>
        </w:rPr>
        <w:t>Arkivråd</w:t>
      </w:r>
      <w:proofErr w:type="spellEnd"/>
      <w:r w:rsidRPr="00F6267F">
        <w:rPr>
          <w:rFonts w:ascii="Bookman Old Style" w:hAnsi="Bookman Old Style"/>
          <w:sz w:val="22"/>
          <w:szCs w:val="22"/>
        </w:rPr>
        <w:t xml:space="preserve"> </w:t>
      </w:r>
      <w:r w:rsidR="00766B5A" w:rsidRPr="00F6267F">
        <w:rPr>
          <w:rFonts w:ascii="Bookman Old Style" w:hAnsi="Bookman Old Style"/>
          <w:sz w:val="22"/>
          <w:szCs w:val="22"/>
        </w:rPr>
        <w:t xml:space="preserve">(NA) </w:t>
      </w:r>
      <w:r w:rsidRPr="00F6267F">
        <w:rPr>
          <w:rFonts w:ascii="Bookman Old Style" w:hAnsi="Bookman Old Style"/>
          <w:sz w:val="22"/>
          <w:szCs w:val="22"/>
        </w:rPr>
        <w:t>skrev i sin høringsuttalelse til Justisdepartementets evaluering av loven sist vår, at det har vært uklarhet om hvordan loven skal praktiseres når det kommer til dokumentbegrepet, med bakgrunn i at lovavdelingen i en tolkningsuttalelse</w:t>
      </w:r>
      <w:r w:rsidR="00F36A68" w:rsidRPr="00F6267F">
        <w:rPr>
          <w:rStyle w:val="Fotnotereferanse"/>
          <w:rFonts w:ascii="Bookman Old Style" w:hAnsi="Bookman Old Style"/>
          <w:sz w:val="22"/>
          <w:szCs w:val="22"/>
        </w:rPr>
        <w:footnoteReference w:id="1"/>
      </w:r>
      <w:r w:rsidRPr="00F6267F">
        <w:rPr>
          <w:rFonts w:ascii="Bookman Old Style" w:hAnsi="Bookman Old Style"/>
          <w:sz w:val="22"/>
          <w:szCs w:val="22"/>
        </w:rPr>
        <w:t xml:space="preserve"> i 2010 viste til at forskriftsunntaket om det offentliges forskningsvirksomhet </w:t>
      </w:r>
      <w:r w:rsidR="00766B5A" w:rsidRPr="00F6267F">
        <w:rPr>
          <w:rFonts w:ascii="Bookman Old Style" w:hAnsi="Bookman Old Style"/>
          <w:sz w:val="22"/>
          <w:szCs w:val="22"/>
        </w:rPr>
        <w:t>«</w:t>
      </w:r>
      <w:proofErr w:type="spellStart"/>
      <w:r w:rsidRPr="00F6267F">
        <w:rPr>
          <w:rFonts w:ascii="Bookman Old Style" w:hAnsi="Bookman Old Style"/>
          <w:sz w:val="22"/>
          <w:szCs w:val="22"/>
        </w:rPr>
        <w:t>ikk</w:t>
      </w:r>
      <w:r w:rsidR="00766B5A" w:rsidRPr="00F6267F">
        <w:rPr>
          <w:rFonts w:ascii="Bookman Old Style" w:hAnsi="Bookman Old Style"/>
          <w:sz w:val="22"/>
          <w:szCs w:val="22"/>
        </w:rPr>
        <w:t>je</w:t>
      </w:r>
      <w:proofErr w:type="spellEnd"/>
      <w:r w:rsidR="00766B5A" w:rsidRPr="00F6267F">
        <w:rPr>
          <w:rFonts w:ascii="Bookman Old Style" w:hAnsi="Bookman Old Style"/>
          <w:sz w:val="22"/>
          <w:szCs w:val="22"/>
        </w:rPr>
        <w:t xml:space="preserve"> er </w:t>
      </w:r>
      <w:proofErr w:type="spellStart"/>
      <w:r w:rsidR="00766B5A" w:rsidRPr="00F6267F">
        <w:rPr>
          <w:rFonts w:ascii="Bookman Old Style" w:hAnsi="Bookman Old Style"/>
          <w:sz w:val="22"/>
          <w:szCs w:val="22"/>
        </w:rPr>
        <w:t>vida</w:t>
      </w:r>
      <w:r w:rsidRPr="00F6267F">
        <w:rPr>
          <w:rFonts w:ascii="Bookman Old Style" w:hAnsi="Bookman Old Style"/>
          <w:sz w:val="22"/>
          <w:szCs w:val="22"/>
        </w:rPr>
        <w:t>reført</w:t>
      </w:r>
      <w:proofErr w:type="spellEnd"/>
      <w:r w:rsidRPr="00F6267F">
        <w:rPr>
          <w:rFonts w:ascii="Bookman Old Style" w:hAnsi="Bookman Old Style"/>
          <w:sz w:val="22"/>
          <w:szCs w:val="22"/>
        </w:rPr>
        <w:t xml:space="preserve"> i den nye lova».</w:t>
      </w:r>
    </w:p>
    <w:p w:rsidR="00766B5A" w:rsidRPr="00F6267F" w:rsidRDefault="00766B5A" w:rsidP="00AD4C20">
      <w:pPr>
        <w:rPr>
          <w:rFonts w:ascii="Bookman Old Style" w:hAnsi="Bookman Old Style"/>
          <w:sz w:val="22"/>
          <w:szCs w:val="22"/>
        </w:rPr>
      </w:pPr>
    </w:p>
    <w:p w:rsidR="00766B5A" w:rsidRPr="00F6267F" w:rsidRDefault="00766B5A" w:rsidP="00AD4C20">
      <w:p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 xml:space="preserve">«Dette reiser problemstillinger om når et forskningsdokument er ferdigstilt og om hvor slike dokumenter i det hele tatt skal registreres. En vanlig journalføring i </w:t>
      </w:r>
      <w:proofErr w:type="spellStart"/>
      <w:r w:rsidRPr="00F6267F">
        <w:rPr>
          <w:rFonts w:ascii="Bookman Old Style" w:hAnsi="Bookman Old Style"/>
          <w:sz w:val="22"/>
          <w:szCs w:val="22"/>
        </w:rPr>
        <w:t>sakarkiv-systemet</w:t>
      </w:r>
      <w:proofErr w:type="spellEnd"/>
      <w:r w:rsidRPr="00F6267F">
        <w:rPr>
          <w:rFonts w:ascii="Bookman Old Style" w:hAnsi="Bookman Old Style"/>
          <w:sz w:val="22"/>
          <w:szCs w:val="22"/>
        </w:rPr>
        <w:t xml:space="preserve"> virker urimelig. NA mener at det er nødvendig å få en presisering av dokumentbegrepet som gjør det mulig å fastsette grensene for hva som faktisk utgjør et dokument og saksdokument etter loven, når forskningen blir digital.»</w:t>
      </w:r>
      <w:r w:rsidRPr="00F6267F">
        <w:rPr>
          <w:rStyle w:val="Fotnotereferanse"/>
          <w:rFonts w:ascii="Bookman Old Style" w:hAnsi="Bookman Old Style"/>
          <w:sz w:val="22"/>
          <w:szCs w:val="22"/>
        </w:rPr>
        <w:footnoteReference w:id="2"/>
      </w:r>
    </w:p>
    <w:p w:rsidR="00AD4C20" w:rsidRPr="00F6267F" w:rsidRDefault="00AD4C20" w:rsidP="00AD4C20">
      <w:pPr>
        <w:rPr>
          <w:rFonts w:ascii="Bookman Old Style" w:hAnsi="Bookman Old Style"/>
          <w:sz w:val="22"/>
          <w:szCs w:val="22"/>
        </w:rPr>
      </w:pPr>
    </w:p>
    <w:p w:rsidR="001366E3" w:rsidRPr="00F6267F" w:rsidRDefault="002C709E">
      <w:p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 xml:space="preserve">Vi viser også til at </w:t>
      </w:r>
      <w:r w:rsidR="009474C8" w:rsidRPr="00F6267F">
        <w:rPr>
          <w:rFonts w:ascii="Bookman Old Style" w:hAnsi="Bookman Old Style"/>
          <w:sz w:val="22"/>
          <w:szCs w:val="22"/>
        </w:rPr>
        <w:t>andre lover har særlige regler om innsynsrett i opplysninger om forskning, for eksempel helseforskningsloven (kapittel 8),</w:t>
      </w:r>
      <w:r w:rsidRPr="00F6267F">
        <w:rPr>
          <w:rFonts w:ascii="Bookman Old Style" w:hAnsi="Bookman Old Style"/>
          <w:sz w:val="22"/>
          <w:szCs w:val="22"/>
        </w:rPr>
        <w:t xml:space="preserve"> som det ville være gode grunner for å redegjøre for i et dokument om tilgang til opplysninger om forskning.</w:t>
      </w:r>
      <w:r w:rsidR="009474C8" w:rsidRPr="00F6267F">
        <w:rPr>
          <w:rFonts w:ascii="Bookman Old Style" w:hAnsi="Bookman Old Style"/>
          <w:sz w:val="22"/>
          <w:szCs w:val="22"/>
        </w:rPr>
        <w:t xml:space="preserve"> </w:t>
      </w:r>
    </w:p>
    <w:p w:rsidR="001366E3" w:rsidRPr="00F6267F" w:rsidRDefault="001366E3">
      <w:pPr>
        <w:rPr>
          <w:rFonts w:ascii="Bookman Old Style" w:hAnsi="Bookman Old Style"/>
          <w:sz w:val="22"/>
          <w:szCs w:val="22"/>
        </w:rPr>
      </w:pPr>
    </w:p>
    <w:p w:rsidR="004F491F" w:rsidRDefault="004F491F">
      <w:pPr>
        <w:rPr>
          <w:rFonts w:ascii="Bookman Old Style" w:hAnsi="Bookman Old Style"/>
          <w:b/>
          <w:sz w:val="22"/>
          <w:szCs w:val="22"/>
        </w:rPr>
      </w:pPr>
    </w:p>
    <w:p w:rsidR="002C709E" w:rsidRPr="00F6267F" w:rsidRDefault="00057C02">
      <w:pPr>
        <w:rPr>
          <w:rFonts w:ascii="Bookman Old Style" w:hAnsi="Bookman Old Style"/>
          <w:b/>
          <w:sz w:val="22"/>
          <w:szCs w:val="22"/>
        </w:rPr>
      </w:pPr>
      <w:r w:rsidRPr="00F6267F">
        <w:rPr>
          <w:rFonts w:ascii="Bookman Old Style" w:hAnsi="Bookman Old Style"/>
          <w:b/>
          <w:sz w:val="22"/>
          <w:szCs w:val="22"/>
        </w:rPr>
        <w:lastRenderedPageBreak/>
        <w:t>Insentivsystemer for forskerforfattere for å skrive på norsk</w:t>
      </w:r>
    </w:p>
    <w:p w:rsidR="00057C02" w:rsidRPr="00F6267F" w:rsidRDefault="00057C02">
      <w:pPr>
        <w:rPr>
          <w:rFonts w:ascii="Bookman Old Style" w:hAnsi="Bookman Old Style"/>
          <w:sz w:val="22"/>
          <w:szCs w:val="22"/>
        </w:rPr>
      </w:pPr>
    </w:p>
    <w:p w:rsidR="00057C02" w:rsidRPr="00F6267F" w:rsidRDefault="00057C02">
      <w:p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>Våre organisasjoner vil også</w:t>
      </w:r>
      <w:r w:rsidR="000E4D7E" w:rsidRPr="00F6267F">
        <w:rPr>
          <w:rFonts w:ascii="Bookman Old Style" w:hAnsi="Bookman Old Style"/>
          <w:sz w:val="22"/>
          <w:szCs w:val="22"/>
        </w:rPr>
        <w:t xml:space="preserve"> gi</w:t>
      </w:r>
      <w:r w:rsidRPr="00F6267F">
        <w:rPr>
          <w:rFonts w:ascii="Bookman Old Style" w:hAnsi="Bookman Old Style"/>
          <w:sz w:val="22"/>
          <w:szCs w:val="22"/>
        </w:rPr>
        <w:t xml:space="preserve"> særlig støtte</w:t>
      </w:r>
      <w:r w:rsidR="000E4D7E" w:rsidRPr="00F6267F">
        <w:rPr>
          <w:rFonts w:ascii="Bookman Old Style" w:hAnsi="Bookman Old Style"/>
          <w:sz w:val="22"/>
          <w:szCs w:val="22"/>
        </w:rPr>
        <w:t xml:space="preserve"> til</w:t>
      </w:r>
      <w:r w:rsidRPr="00F6267F">
        <w:rPr>
          <w:rFonts w:ascii="Bookman Old Style" w:hAnsi="Bookman Old Style"/>
          <w:sz w:val="22"/>
          <w:szCs w:val="22"/>
        </w:rPr>
        <w:t xml:space="preserve"> synspunktene fra NFF om betydningen av at det må finnes gode insentiver til norske forskerforfattere. Gjennom vederlagsordninger basert på kollektiv lisensiering er også mange medlemmer i våre grunnorganisasjoner blitt tilgodesett med midler som finansierer skriving og publisering av forskning, faglig utviklingsarbeid og faglitteratur. </w:t>
      </w:r>
      <w:proofErr w:type="spellStart"/>
      <w:r w:rsidR="009351E5" w:rsidRPr="00F6267F">
        <w:rPr>
          <w:rFonts w:ascii="Bookman Old Style" w:hAnsi="Bookman Old Style"/>
          <w:sz w:val="22"/>
          <w:szCs w:val="22"/>
        </w:rPr>
        <w:t>Rettighets</w:t>
      </w:r>
      <w:r w:rsidR="000E4D7E" w:rsidRPr="00F6267F">
        <w:rPr>
          <w:rFonts w:ascii="Bookman Old Style" w:hAnsi="Bookman Old Style"/>
          <w:sz w:val="22"/>
          <w:szCs w:val="22"/>
        </w:rPr>
        <w:t>-</w:t>
      </w:r>
      <w:r w:rsidR="009351E5" w:rsidRPr="00F6267F">
        <w:rPr>
          <w:rFonts w:ascii="Bookman Old Style" w:hAnsi="Bookman Old Style"/>
          <w:sz w:val="22"/>
          <w:szCs w:val="22"/>
        </w:rPr>
        <w:t>organisasjon</w:t>
      </w:r>
      <w:r w:rsidR="000E4D7E" w:rsidRPr="00F6267F">
        <w:rPr>
          <w:rFonts w:ascii="Bookman Old Style" w:hAnsi="Bookman Old Style"/>
          <w:sz w:val="22"/>
          <w:szCs w:val="22"/>
        </w:rPr>
        <w:t>ene</w:t>
      </w:r>
      <w:proofErr w:type="spellEnd"/>
      <w:r w:rsidR="000E4D7E" w:rsidRPr="00F6267F">
        <w:rPr>
          <w:rFonts w:ascii="Bookman Old Style" w:hAnsi="Bookman Old Style"/>
          <w:sz w:val="22"/>
          <w:szCs w:val="22"/>
        </w:rPr>
        <w:t xml:space="preserve"> innenfor mediebransjen har også e</w:t>
      </w:r>
      <w:r w:rsidR="009351E5" w:rsidRPr="00F6267F">
        <w:rPr>
          <w:rFonts w:ascii="Bookman Old Style" w:hAnsi="Bookman Old Style"/>
          <w:sz w:val="22"/>
          <w:szCs w:val="22"/>
        </w:rPr>
        <w:t>n</w:t>
      </w:r>
      <w:r w:rsidR="000E4D7E" w:rsidRPr="00F6267F">
        <w:rPr>
          <w:rFonts w:ascii="Bookman Old Style" w:hAnsi="Bookman Old Style"/>
          <w:sz w:val="22"/>
          <w:szCs w:val="22"/>
        </w:rPr>
        <w:t xml:space="preserve"> egen stipendordning i tillegg til NFF-ordningen, gjennom Pressens Faglitteraturfond. </w:t>
      </w:r>
    </w:p>
    <w:p w:rsidR="000E4D7E" w:rsidRPr="00F6267F" w:rsidRDefault="000E4D7E">
      <w:pPr>
        <w:rPr>
          <w:rFonts w:ascii="Bookman Old Style" w:hAnsi="Bookman Old Style"/>
          <w:sz w:val="22"/>
          <w:szCs w:val="22"/>
        </w:rPr>
      </w:pPr>
    </w:p>
    <w:p w:rsidR="000E4D7E" w:rsidRPr="00F6267F" w:rsidRDefault="000E4D7E">
      <w:pPr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>I lys av dette vil vi sterkt beklage rapportens lettvinte behandling av hva lisens- og vederlagssystemet betyr for produksjon og publisering av forskningsresultater i Norge, og vi støtter fullt ut Kopinors uttalelse om dette.</w:t>
      </w:r>
    </w:p>
    <w:p w:rsidR="000E4D7E" w:rsidRPr="00F6267F" w:rsidRDefault="000E4D7E">
      <w:pPr>
        <w:rPr>
          <w:rFonts w:ascii="Bookman Old Style" w:hAnsi="Bookman Old Style"/>
          <w:sz w:val="22"/>
          <w:szCs w:val="22"/>
        </w:rPr>
      </w:pPr>
    </w:p>
    <w:p w:rsidR="000E4D7E" w:rsidRPr="00F6267F" w:rsidRDefault="000E4D7E">
      <w:pPr>
        <w:rPr>
          <w:rFonts w:ascii="Bookman Old Style" w:hAnsi="Bookman Old Style"/>
          <w:sz w:val="22"/>
          <w:szCs w:val="22"/>
        </w:rPr>
      </w:pPr>
    </w:p>
    <w:p w:rsidR="000E4D7E" w:rsidRPr="00F6267F" w:rsidRDefault="000E4D7E" w:rsidP="00F6267F">
      <w:pPr>
        <w:jc w:val="center"/>
        <w:rPr>
          <w:rFonts w:ascii="Bookman Old Style" w:hAnsi="Bookman Old Style"/>
          <w:sz w:val="22"/>
          <w:szCs w:val="22"/>
        </w:rPr>
      </w:pPr>
      <w:r w:rsidRPr="00F6267F">
        <w:rPr>
          <w:rFonts w:ascii="Bookman Old Style" w:hAnsi="Bookman Old Style"/>
          <w:sz w:val="22"/>
          <w:szCs w:val="22"/>
        </w:rPr>
        <w:t>Med vennlig hilsen</w:t>
      </w:r>
    </w:p>
    <w:p w:rsidR="000E4D7E" w:rsidRPr="00F6267F" w:rsidRDefault="000E4D7E">
      <w:pPr>
        <w:rPr>
          <w:rFonts w:ascii="Bookman Old Style" w:hAnsi="Bookman Old Style"/>
          <w:sz w:val="22"/>
          <w:szCs w:val="22"/>
        </w:rPr>
      </w:pPr>
    </w:p>
    <w:p w:rsidR="004A2A4A" w:rsidRPr="004D305F" w:rsidRDefault="004A2A4A" w:rsidP="004A2A4A">
      <w:pPr>
        <w:rPr>
          <w:rFonts w:asciiTheme="majorHAnsi" w:hAnsiTheme="majorHAnsi"/>
          <w:b/>
          <w:sz w:val="22"/>
          <w:szCs w:val="22"/>
        </w:rPr>
      </w:pPr>
    </w:p>
    <w:p w:rsidR="004A2A4A" w:rsidRPr="00F46DE6" w:rsidRDefault="004A2A4A" w:rsidP="004A2A4A">
      <w:pPr>
        <w:spacing w:after="200"/>
        <w:rPr>
          <w:rFonts w:asciiTheme="majorHAnsi" w:hAnsiTheme="majorHAnsi" w:cs="Arial"/>
          <w:b/>
          <w:sz w:val="22"/>
          <w:szCs w:val="22"/>
          <w:lang w:eastAsia="en-US"/>
        </w:rPr>
      </w:pPr>
      <w:r w:rsidRPr="004D305F">
        <w:rPr>
          <w:rFonts w:asciiTheme="majorHAnsi" w:hAnsiTheme="majorHAnsi" w:cs="Arial"/>
          <w:b/>
          <w:sz w:val="22"/>
          <w:szCs w:val="22"/>
          <w:lang w:eastAsia="en-US"/>
        </w:rPr>
        <w:t>Norsk Presseforbund</w:t>
      </w:r>
      <w:r w:rsidRPr="004D305F">
        <w:rPr>
          <w:rFonts w:asciiTheme="majorHAnsi" w:hAnsiTheme="majorHAnsi" w:cs="Arial"/>
          <w:b/>
          <w:sz w:val="22"/>
          <w:szCs w:val="22"/>
          <w:lang w:eastAsia="en-US"/>
        </w:rPr>
        <w:tab/>
      </w:r>
      <w:r>
        <w:rPr>
          <w:rFonts w:asciiTheme="majorHAnsi" w:hAnsiTheme="majorHAnsi" w:cs="Arial"/>
          <w:b/>
          <w:sz w:val="22"/>
          <w:szCs w:val="22"/>
          <w:lang w:eastAsia="en-US"/>
        </w:rPr>
        <w:tab/>
        <w:t xml:space="preserve">             </w:t>
      </w:r>
      <w:r w:rsidRPr="004D305F">
        <w:rPr>
          <w:rFonts w:asciiTheme="majorHAnsi" w:hAnsiTheme="majorHAnsi" w:cs="Arial"/>
          <w:b/>
          <w:sz w:val="22"/>
          <w:szCs w:val="22"/>
          <w:lang w:eastAsia="en-US"/>
        </w:rPr>
        <w:t>Norsk Journalistlag</w:t>
      </w:r>
      <w:r w:rsidRPr="004D305F">
        <w:rPr>
          <w:rFonts w:asciiTheme="majorHAnsi" w:hAnsiTheme="majorHAnsi" w:cs="Arial"/>
          <w:b/>
          <w:sz w:val="22"/>
          <w:szCs w:val="22"/>
          <w:lang w:eastAsia="en-US"/>
        </w:rPr>
        <w:tab/>
      </w:r>
      <w:r w:rsidRPr="004D305F">
        <w:rPr>
          <w:rFonts w:asciiTheme="majorHAnsi" w:hAnsiTheme="majorHAnsi" w:cs="Arial"/>
          <w:b/>
          <w:sz w:val="22"/>
          <w:szCs w:val="22"/>
          <w:lang w:eastAsia="en-US"/>
        </w:rPr>
        <w:tab/>
        <w:t>Norsk Redaktørforening</w:t>
      </w:r>
      <w:r>
        <w:rPr>
          <w:noProof/>
        </w:rPr>
        <w:drawing>
          <wp:inline distT="0" distB="0" distL="0" distR="0">
            <wp:extent cx="1152525" cy="62865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       </w:t>
      </w:r>
      <w:r>
        <w:rPr>
          <w:rFonts w:ascii="Garamond" w:hAnsi="Garamond" w:cs="Arial"/>
          <w:noProof/>
          <w:szCs w:val="24"/>
        </w:rPr>
        <w:drawing>
          <wp:inline distT="0" distB="0" distL="0" distR="0">
            <wp:extent cx="1438275" cy="400050"/>
            <wp:effectExtent l="0" t="0" r="0" b="0"/>
            <wp:docPr id="5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noProof/>
          <w:szCs w:val="24"/>
        </w:rPr>
        <w:tab/>
      </w:r>
      <w:r>
        <w:rPr>
          <w:rFonts w:ascii="Garamond" w:hAnsi="Garamond" w:cs="Arial"/>
          <w:noProof/>
          <w:szCs w:val="24"/>
        </w:rPr>
        <w:tab/>
      </w:r>
      <w:r>
        <w:rPr>
          <w:rFonts w:ascii="Garamond" w:hAnsi="Garamond" w:cs="Arial"/>
          <w:noProof/>
          <w:szCs w:val="24"/>
        </w:rPr>
        <w:drawing>
          <wp:inline distT="0" distB="0" distL="0" distR="0">
            <wp:extent cx="990600" cy="561975"/>
            <wp:effectExtent l="0" t="0" r="0" b="0"/>
            <wp:docPr id="6" name="Bilde 6" descr="Signatur Arne Jen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 Arne Jense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4A" w:rsidRPr="004D305F" w:rsidRDefault="004A2A4A" w:rsidP="004A2A4A">
      <w:pPr>
        <w:rPr>
          <w:rFonts w:asciiTheme="majorHAnsi" w:hAnsiTheme="majorHAnsi" w:cs="Arial"/>
          <w:sz w:val="22"/>
          <w:szCs w:val="22"/>
          <w:lang w:eastAsia="en-US"/>
        </w:rPr>
      </w:pPr>
      <w:r w:rsidRPr="004D305F">
        <w:rPr>
          <w:rFonts w:asciiTheme="majorHAnsi" w:hAnsiTheme="majorHAnsi" w:cs="Arial"/>
          <w:noProof/>
          <w:sz w:val="22"/>
          <w:szCs w:val="22"/>
        </w:rPr>
        <w:t>Nils E. Øy</w:t>
      </w:r>
      <w:r w:rsidRPr="004D305F">
        <w:rPr>
          <w:rFonts w:asciiTheme="majorHAnsi" w:hAnsiTheme="majorHAnsi" w:cs="Arial"/>
          <w:noProof/>
          <w:sz w:val="22"/>
          <w:szCs w:val="22"/>
        </w:rPr>
        <w:tab/>
      </w:r>
      <w:r w:rsidRPr="004D305F">
        <w:rPr>
          <w:rFonts w:asciiTheme="majorHAnsi" w:hAnsiTheme="majorHAnsi" w:cs="Arial"/>
          <w:noProof/>
          <w:sz w:val="22"/>
          <w:szCs w:val="22"/>
        </w:rPr>
        <w:tab/>
      </w:r>
      <w:r w:rsidRPr="004D305F">
        <w:rPr>
          <w:rFonts w:asciiTheme="majorHAnsi" w:hAnsiTheme="majorHAnsi" w:cs="Arial"/>
          <w:noProof/>
          <w:sz w:val="22"/>
          <w:szCs w:val="22"/>
        </w:rPr>
        <w:tab/>
      </w:r>
      <w:r>
        <w:rPr>
          <w:rFonts w:asciiTheme="majorHAnsi" w:hAnsiTheme="majorHAnsi" w:cs="Arial"/>
          <w:noProof/>
          <w:sz w:val="22"/>
          <w:szCs w:val="22"/>
        </w:rPr>
        <w:t xml:space="preserve">           </w:t>
      </w:r>
      <w:r w:rsidRPr="004D305F">
        <w:rPr>
          <w:rFonts w:asciiTheme="majorHAnsi" w:hAnsiTheme="majorHAnsi" w:cs="Arial"/>
          <w:sz w:val="22"/>
          <w:szCs w:val="22"/>
          <w:lang w:eastAsia="en-US"/>
        </w:rPr>
        <w:t xml:space="preserve">Ina Lindahl Nyrud </w:t>
      </w:r>
      <w:r w:rsidRPr="004D305F">
        <w:rPr>
          <w:rFonts w:asciiTheme="majorHAnsi" w:hAnsiTheme="majorHAnsi" w:cs="Arial"/>
          <w:sz w:val="22"/>
          <w:szCs w:val="22"/>
          <w:lang w:eastAsia="en-US"/>
        </w:rPr>
        <w:tab/>
      </w:r>
      <w:r w:rsidRPr="004D305F">
        <w:rPr>
          <w:rFonts w:asciiTheme="majorHAnsi" w:hAnsiTheme="majorHAnsi" w:cs="Arial"/>
          <w:sz w:val="22"/>
          <w:szCs w:val="22"/>
          <w:lang w:eastAsia="en-US"/>
        </w:rPr>
        <w:tab/>
      </w:r>
      <w:r>
        <w:rPr>
          <w:rFonts w:asciiTheme="majorHAnsi" w:hAnsiTheme="majorHAnsi" w:cs="Arial"/>
          <w:sz w:val="22"/>
          <w:szCs w:val="22"/>
          <w:lang w:eastAsia="en-US"/>
        </w:rPr>
        <w:tab/>
      </w:r>
      <w:r w:rsidRPr="004D305F">
        <w:rPr>
          <w:rFonts w:asciiTheme="majorHAnsi" w:hAnsiTheme="majorHAnsi" w:cs="Arial"/>
          <w:sz w:val="22"/>
          <w:szCs w:val="22"/>
          <w:lang w:eastAsia="en-US"/>
        </w:rPr>
        <w:t>Arne Jensen</w:t>
      </w:r>
    </w:p>
    <w:p w:rsidR="004A2A4A" w:rsidRPr="004D305F" w:rsidRDefault="004A2A4A" w:rsidP="004A2A4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  <w:lang w:eastAsia="en-US"/>
        </w:rPr>
        <w:t>generalsekretær (kst)</w:t>
      </w:r>
      <w:r w:rsidRPr="004D305F">
        <w:rPr>
          <w:rFonts w:asciiTheme="majorHAnsi" w:hAnsiTheme="majorHAnsi" w:cs="Arial"/>
          <w:i/>
          <w:sz w:val="22"/>
          <w:szCs w:val="22"/>
          <w:lang w:eastAsia="en-US"/>
        </w:rPr>
        <w:tab/>
      </w:r>
      <w:r w:rsidRPr="004D305F">
        <w:rPr>
          <w:rFonts w:asciiTheme="majorHAnsi" w:hAnsiTheme="majorHAnsi" w:cs="Arial"/>
          <w:i/>
          <w:sz w:val="22"/>
          <w:szCs w:val="22"/>
          <w:lang w:eastAsia="en-US"/>
        </w:rPr>
        <w:tab/>
      </w:r>
      <w:r>
        <w:rPr>
          <w:rFonts w:asciiTheme="majorHAnsi" w:hAnsiTheme="majorHAnsi" w:cs="Arial"/>
          <w:i/>
          <w:sz w:val="22"/>
          <w:szCs w:val="22"/>
          <w:lang w:eastAsia="en-US"/>
        </w:rPr>
        <w:t xml:space="preserve">           </w:t>
      </w:r>
      <w:r w:rsidRPr="004D305F">
        <w:rPr>
          <w:rFonts w:asciiTheme="majorHAnsi" w:hAnsiTheme="majorHAnsi" w:cs="Arial"/>
          <w:i/>
          <w:sz w:val="22"/>
          <w:szCs w:val="22"/>
          <w:lang w:eastAsia="en-US"/>
        </w:rPr>
        <w:t>advokat</w:t>
      </w:r>
      <w:r>
        <w:rPr>
          <w:rFonts w:asciiTheme="majorHAnsi" w:hAnsiTheme="majorHAnsi" w:cs="Arial"/>
          <w:i/>
          <w:sz w:val="22"/>
          <w:szCs w:val="22"/>
          <w:lang w:eastAsia="en-US"/>
        </w:rPr>
        <w:tab/>
      </w:r>
      <w:r>
        <w:rPr>
          <w:rFonts w:asciiTheme="majorHAnsi" w:hAnsiTheme="majorHAnsi" w:cs="Arial"/>
          <w:i/>
          <w:sz w:val="22"/>
          <w:szCs w:val="22"/>
          <w:lang w:eastAsia="en-US"/>
        </w:rPr>
        <w:tab/>
      </w:r>
      <w:r>
        <w:rPr>
          <w:rFonts w:asciiTheme="majorHAnsi" w:hAnsiTheme="majorHAnsi" w:cs="Arial"/>
          <w:i/>
          <w:sz w:val="22"/>
          <w:szCs w:val="22"/>
          <w:lang w:eastAsia="en-US"/>
        </w:rPr>
        <w:tab/>
      </w:r>
      <w:r>
        <w:rPr>
          <w:rFonts w:asciiTheme="majorHAnsi" w:hAnsiTheme="majorHAnsi" w:cs="Arial"/>
          <w:i/>
          <w:sz w:val="22"/>
          <w:szCs w:val="22"/>
          <w:lang w:eastAsia="en-US"/>
        </w:rPr>
        <w:tab/>
      </w:r>
      <w:r w:rsidRPr="004D305F">
        <w:rPr>
          <w:rFonts w:asciiTheme="majorHAnsi" w:hAnsiTheme="majorHAnsi" w:cs="Arial"/>
          <w:i/>
          <w:sz w:val="22"/>
          <w:szCs w:val="22"/>
          <w:lang w:eastAsia="en-US"/>
        </w:rPr>
        <w:t>generalsekretær</w:t>
      </w:r>
    </w:p>
    <w:p w:rsidR="00735422" w:rsidRPr="00F6267F" w:rsidRDefault="00735422">
      <w:pPr>
        <w:rPr>
          <w:rFonts w:ascii="Bookman Old Style" w:hAnsi="Bookman Old Style"/>
          <w:sz w:val="22"/>
          <w:szCs w:val="22"/>
        </w:rPr>
      </w:pPr>
    </w:p>
    <w:p w:rsidR="00C51B49" w:rsidRPr="00735422" w:rsidRDefault="00C51B49">
      <w:pPr>
        <w:rPr>
          <w:rFonts w:ascii="Bookman Old Style" w:hAnsi="Bookman Old Style"/>
          <w:sz w:val="22"/>
          <w:szCs w:val="22"/>
        </w:rPr>
      </w:pPr>
    </w:p>
    <w:sectPr w:rsidR="00C51B49" w:rsidRPr="00735422" w:rsidSect="002914CC">
      <w:footerReference w:type="defaul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59B" w:rsidRDefault="004C059B" w:rsidP="00766B5A">
      <w:r>
        <w:separator/>
      </w:r>
    </w:p>
  </w:endnote>
  <w:endnote w:type="continuationSeparator" w:id="0">
    <w:p w:rsidR="004C059B" w:rsidRDefault="004C059B" w:rsidP="00766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9525777"/>
      <w:docPartObj>
        <w:docPartGallery w:val="Page Numbers (Bottom of Page)"/>
        <w:docPartUnique/>
      </w:docPartObj>
    </w:sdtPr>
    <w:sdtContent>
      <w:p w:rsidR="00F6267F" w:rsidRDefault="002914CC">
        <w:pPr>
          <w:pStyle w:val="Bunntekst"/>
          <w:jc w:val="right"/>
        </w:pPr>
        <w:r>
          <w:fldChar w:fldCharType="begin"/>
        </w:r>
        <w:r w:rsidR="00F6267F">
          <w:instrText>PAGE   \* MERGEFORMAT</w:instrText>
        </w:r>
        <w:r>
          <w:fldChar w:fldCharType="separate"/>
        </w:r>
        <w:r w:rsidR="005A55D8">
          <w:rPr>
            <w:noProof/>
          </w:rPr>
          <w:t>2</w:t>
        </w:r>
        <w:r>
          <w:fldChar w:fldCharType="end"/>
        </w:r>
      </w:p>
    </w:sdtContent>
  </w:sdt>
  <w:p w:rsidR="00F6267F" w:rsidRDefault="00F6267F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59B" w:rsidRDefault="004C059B" w:rsidP="00766B5A">
      <w:r>
        <w:separator/>
      </w:r>
    </w:p>
  </w:footnote>
  <w:footnote w:type="continuationSeparator" w:id="0">
    <w:p w:rsidR="004C059B" w:rsidRDefault="004C059B" w:rsidP="00766B5A">
      <w:r>
        <w:continuationSeparator/>
      </w:r>
    </w:p>
  </w:footnote>
  <w:footnote w:id="1">
    <w:p w:rsidR="00F36A68" w:rsidRDefault="00F36A68">
      <w:pPr>
        <w:pStyle w:val="Fotnotetekst"/>
      </w:pPr>
      <w:r>
        <w:rPr>
          <w:rStyle w:val="Fotnotereferanse"/>
        </w:rPr>
        <w:footnoteRef/>
      </w:r>
      <w:r>
        <w:t xml:space="preserve"> Tolkningsuttalelse fra Justisdepartementet om </w:t>
      </w:r>
      <w:proofErr w:type="spellStart"/>
      <w:r>
        <w:t>offl</w:t>
      </w:r>
      <w:proofErr w:type="spellEnd"/>
      <w:r>
        <w:t xml:space="preserve"> §§ 23 og 29, datert 2010-03-23.</w:t>
      </w:r>
    </w:p>
  </w:footnote>
  <w:footnote w:id="2">
    <w:p w:rsidR="00766B5A" w:rsidRDefault="00766B5A">
      <w:pPr>
        <w:pStyle w:val="Fotnotetekst"/>
      </w:pPr>
      <w:r>
        <w:rPr>
          <w:rStyle w:val="Fotnotereferanse"/>
        </w:rPr>
        <w:footnoteRef/>
      </w:r>
      <w:r>
        <w:t xml:space="preserve"> Norsk </w:t>
      </w:r>
      <w:proofErr w:type="spellStart"/>
      <w:r>
        <w:t>Arkivråd</w:t>
      </w:r>
      <w:proofErr w:type="spellEnd"/>
      <w:r>
        <w:t xml:space="preserve"> til Justisdepartementet, datert 2016-05-30.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E74"/>
    <w:multiLevelType w:val="hybridMultilevel"/>
    <w:tmpl w:val="D4AA1CC2"/>
    <w:lvl w:ilvl="0" w:tplc="041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422"/>
    <w:rsid w:val="00057C02"/>
    <w:rsid w:val="000E4D7E"/>
    <w:rsid w:val="00110214"/>
    <w:rsid w:val="001366E3"/>
    <w:rsid w:val="001F5F48"/>
    <w:rsid w:val="001F7D7A"/>
    <w:rsid w:val="002914CC"/>
    <w:rsid w:val="002C709E"/>
    <w:rsid w:val="003665DF"/>
    <w:rsid w:val="004A2A4A"/>
    <w:rsid w:val="004C059B"/>
    <w:rsid w:val="004F491F"/>
    <w:rsid w:val="005A55D8"/>
    <w:rsid w:val="00664119"/>
    <w:rsid w:val="00735422"/>
    <w:rsid w:val="00766B5A"/>
    <w:rsid w:val="008E4F83"/>
    <w:rsid w:val="008E76CD"/>
    <w:rsid w:val="009351E5"/>
    <w:rsid w:val="009474C8"/>
    <w:rsid w:val="00A604CF"/>
    <w:rsid w:val="00AD4C20"/>
    <w:rsid w:val="00C23483"/>
    <w:rsid w:val="00C51B49"/>
    <w:rsid w:val="00EA5740"/>
    <w:rsid w:val="00F36A68"/>
    <w:rsid w:val="00F6267F"/>
    <w:rsid w:val="00FF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styleId="Overskrift2">
    <w:name w:val="heading 2"/>
    <w:basedOn w:val="Normal"/>
    <w:next w:val="Normal"/>
    <w:link w:val="Overskrift2Tegn"/>
    <w:qFormat/>
    <w:rsid w:val="00735422"/>
    <w:pPr>
      <w:keepNext/>
      <w:spacing w:before="120" w:after="120"/>
      <w:outlineLvl w:val="1"/>
    </w:pPr>
    <w:rPr>
      <w:rFonts w:ascii="Gill Sans MT" w:hAnsi="Gill Sans MT"/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735422"/>
    <w:rPr>
      <w:rFonts w:ascii="Gill Sans MT" w:eastAsia="Times New Roman" w:hAnsi="Gill Sans MT" w:cs="Times New Roman"/>
      <w:b/>
      <w:sz w:val="28"/>
      <w:szCs w:val="20"/>
      <w:lang w:val="nb-NO" w:eastAsia="nb-NO"/>
    </w:rPr>
  </w:style>
  <w:style w:type="character" w:styleId="Hyperkobling">
    <w:name w:val="Hyperlink"/>
    <w:basedOn w:val="Standardskriftforavsnitt"/>
    <w:uiPriority w:val="99"/>
    <w:unhideWhenUsed/>
    <w:rsid w:val="00735422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1366E3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766B5A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66B5A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766B5A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F6267F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267F"/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F6267F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267F"/>
    <w:rPr>
      <w:rFonts w:ascii="Times New Roman" w:eastAsia="Times New Roman" w:hAnsi="Times New Roman" w:cs="Times New Roman"/>
      <w:sz w:val="24"/>
      <w:szCs w:val="20"/>
      <w:lang w:val="nb-NO"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F6114-EA9F-4E94-9700-EFBE349D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Høring – nasjonale retningslinjer for åpen tilgang til forskningsresultater</vt:lpstr>
    </vt:vector>
  </TitlesOfParts>
  <Company>HP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Øy</dc:creator>
  <cp:lastModifiedBy>Reidun</cp:lastModifiedBy>
  <cp:revision>2</cp:revision>
  <dcterms:created xsi:type="dcterms:W3CDTF">2016-11-08T16:43:00Z</dcterms:created>
  <dcterms:modified xsi:type="dcterms:W3CDTF">2016-11-08T16:43:00Z</dcterms:modified>
</cp:coreProperties>
</file>