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36" w:rsidRPr="00607F3E" w:rsidRDefault="00E23236" w:rsidP="00E23236">
      <w:pPr>
        <w:tabs>
          <w:tab w:val="left" w:pos="4487"/>
        </w:tabs>
        <w:kinsoku w:val="0"/>
        <w:overflowPunct w:val="0"/>
        <w:autoSpaceDE w:val="0"/>
        <w:autoSpaceDN w:val="0"/>
        <w:adjustRightInd w:val="0"/>
        <w:spacing w:after="0" w:line="240" w:lineRule="auto"/>
        <w:ind w:left="107"/>
        <w:rPr>
          <w:rFonts w:ascii="Times New Roman" w:hAnsi="Times New Roman" w:cs="Times New Roman"/>
          <w:position w:val="1"/>
          <w:sz w:val="20"/>
          <w:szCs w:val="20"/>
        </w:rPr>
      </w:pPr>
      <w:r>
        <w:rPr>
          <w:noProof/>
          <w:lang w:eastAsia="nb-NO"/>
        </w:rPr>
        <w:drawing>
          <wp:inline distT="0" distB="0" distL="0" distR="0">
            <wp:extent cx="2914142" cy="704215"/>
            <wp:effectExtent l="0" t="0" r="635" b="63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sk Redaktørforening-logo01 -n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2851" cy="732902"/>
                    </a:xfrm>
                    <a:prstGeom prst="rect">
                      <a:avLst/>
                    </a:prstGeom>
                  </pic:spPr>
                </pic:pic>
              </a:graphicData>
            </a:graphic>
          </wp:inline>
        </w:drawing>
      </w:r>
      <w:r w:rsidRPr="00607F3E">
        <w:rPr>
          <w:rFonts w:ascii="Times New Roman" w:hAnsi="Times New Roman" w:cs="Times New Roman"/>
          <w:sz w:val="20"/>
          <w:szCs w:val="20"/>
        </w:rPr>
        <w:t xml:space="preserve"> </w:t>
      </w:r>
      <w:r w:rsidRPr="00607F3E">
        <w:rPr>
          <w:rFonts w:ascii="Times New Roman" w:hAnsi="Times New Roman" w:cs="Times New Roman"/>
          <w:sz w:val="20"/>
          <w:szCs w:val="20"/>
        </w:rPr>
        <w:tab/>
      </w:r>
      <w:r>
        <w:rPr>
          <w:rFonts w:ascii="Times New Roman" w:hAnsi="Times New Roman" w:cs="Times New Roman"/>
          <w:sz w:val="20"/>
          <w:szCs w:val="20"/>
        </w:rPr>
        <w:t xml:space="preserve">         </w:t>
      </w:r>
      <w:r w:rsidRPr="00607F3E">
        <w:rPr>
          <w:rFonts w:ascii="Times New Roman" w:hAnsi="Times New Roman" w:cs="Times New Roman"/>
          <w:noProof/>
          <w:position w:val="1"/>
          <w:sz w:val="20"/>
          <w:szCs w:val="20"/>
          <w:lang w:eastAsia="nb-NO"/>
        </w:rPr>
        <w:drawing>
          <wp:inline distT="0" distB="0" distL="0" distR="0">
            <wp:extent cx="2295525" cy="765175"/>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765175"/>
                    </a:xfrm>
                    <a:prstGeom prst="rect">
                      <a:avLst/>
                    </a:prstGeom>
                    <a:noFill/>
                    <a:ln>
                      <a:noFill/>
                    </a:ln>
                  </pic:spPr>
                </pic:pic>
              </a:graphicData>
            </a:graphic>
          </wp:inline>
        </w:drawing>
      </w:r>
    </w:p>
    <w:p w:rsidR="00E23236" w:rsidRDefault="00E23236" w:rsidP="00E23236"/>
    <w:p w:rsidR="008C0D74" w:rsidRDefault="008C0D74" w:rsidP="00E23236"/>
    <w:p w:rsidR="00AB03A9" w:rsidRDefault="00AB03A9" w:rsidP="00E23236"/>
    <w:p w:rsidR="00E23236" w:rsidRPr="00BF0BDE" w:rsidRDefault="00E23236" w:rsidP="00E23236">
      <w:pPr>
        <w:spacing w:after="0" w:line="240" w:lineRule="auto"/>
        <w:rPr>
          <w:rFonts w:ascii="Bookman Old Style" w:hAnsi="Bookman Old Style"/>
          <w:sz w:val="24"/>
        </w:rPr>
      </w:pPr>
      <w:r w:rsidRPr="00BF0BDE">
        <w:rPr>
          <w:rFonts w:ascii="Bookman Old Style" w:hAnsi="Bookman Old Style"/>
          <w:sz w:val="24"/>
        </w:rPr>
        <w:t xml:space="preserve">Til tingrettsdommer Helen Andenæs Sekulic </w:t>
      </w:r>
    </w:p>
    <w:p w:rsidR="00E23236" w:rsidRPr="00BF0BDE" w:rsidRDefault="00E23236" w:rsidP="00E23236">
      <w:pPr>
        <w:spacing w:after="0" w:line="240" w:lineRule="auto"/>
        <w:rPr>
          <w:rFonts w:ascii="Bookman Old Style" w:hAnsi="Bookman Old Style"/>
          <w:sz w:val="24"/>
        </w:rPr>
      </w:pPr>
      <w:r w:rsidRPr="00BF0BDE">
        <w:rPr>
          <w:rFonts w:ascii="Bookman Old Style" w:hAnsi="Bookman Old Style"/>
          <w:sz w:val="24"/>
        </w:rPr>
        <w:t>Oslo tingrett</w:t>
      </w:r>
    </w:p>
    <w:p w:rsidR="00E23236" w:rsidRPr="00864435" w:rsidRDefault="00E23236" w:rsidP="00864435">
      <w:pPr>
        <w:spacing w:after="0" w:line="240" w:lineRule="auto"/>
        <w:rPr>
          <w:color w:val="FF0000"/>
        </w:rPr>
      </w:pPr>
      <w:r>
        <w:tab/>
      </w:r>
      <w:r>
        <w:tab/>
      </w:r>
      <w:r>
        <w:tab/>
      </w:r>
      <w:r>
        <w:tab/>
      </w:r>
      <w:r>
        <w:tab/>
      </w:r>
      <w:r>
        <w:tab/>
      </w:r>
      <w:r>
        <w:tab/>
      </w:r>
      <w:r>
        <w:tab/>
      </w:r>
      <w:r>
        <w:rPr>
          <w:color w:val="FF0000"/>
        </w:rPr>
        <w:t xml:space="preserve"> </w:t>
      </w:r>
    </w:p>
    <w:p w:rsidR="00E23236" w:rsidRPr="00ED5815" w:rsidRDefault="00E23236" w:rsidP="00E23236"/>
    <w:p w:rsidR="00E23236" w:rsidRPr="00BF0BDE" w:rsidRDefault="00E23236" w:rsidP="00E23236">
      <w:pPr>
        <w:rPr>
          <w:rFonts w:ascii="Bookman Old Style" w:hAnsi="Bookman Old Style"/>
        </w:rPr>
      </w:pP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t xml:space="preserve">Oslo </w:t>
      </w:r>
      <w:r w:rsidR="004422C1">
        <w:rPr>
          <w:rFonts w:ascii="Bookman Old Style" w:hAnsi="Bookman Old Style"/>
        </w:rPr>
        <w:t>5</w:t>
      </w:r>
      <w:r>
        <w:rPr>
          <w:rFonts w:ascii="Bookman Old Style" w:hAnsi="Bookman Old Style"/>
        </w:rPr>
        <w:t>. mars</w:t>
      </w:r>
      <w:r w:rsidRPr="00BF0BDE">
        <w:rPr>
          <w:rFonts w:ascii="Bookman Old Style" w:hAnsi="Bookman Old Style"/>
        </w:rPr>
        <w:t xml:space="preserve"> 2016</w:t>
      </w:r>
    </w:p>
    <w:p w:rsidR="008C0D74" w:rsidRDefault="008C0D74" w:rsidP="00E23236">
      <w:pPr>
        <w:rPr>
          <w:rFonts w:ascii="Bookman Old Style" w:hAnsi="Bookman Old Style"/>
        </w:rPr>
      </w:pPr>
    </w:p>
    <w:p w:rsidR="00E23236" w:rsidRPr="001F0EC9" w:rsidRDefault="00E23236" w:rsidP="00E23236">
      <w:pPr>
        <w:rPr>
          <w:rFonts w:ascii="Bookman Old Style" w:hAnsi="Bookman Old Style"/>
          <w:b/>
          <w:sz w:val="28"/>
        </w:rPr>
      </w:pPr>
      <w:r w:rsidRPr="001F0EC9">
        <w:rPr>
          <w:rFonts w:ascii="Bookman Old Style" w:hAnsi="Bookman Old Style"/>
          <w:b/>
          <w:sz w:val="28"/>
        </w:rPr>
        <w:t>Anders Behring Breivik – Justis- og Beredskapsdepartementet</w:t>
      </w:r>
      <w:r>
        <w:rPr>
          <w:rFonts w:ascii="Bookman Old Style" w:hAnsi="Bookman Old Style"/>
          <w:b/>
          <w:sz w:val="28"/>
        </w:rPr>
        <w:t>, tingrettens kjennelse av 2. mars 2016.</w:t>
      </w:r>
    </w:p>
    <w:p w:rsidR="00E23236" w:rsidRDefault="00E23236" w:rsidP="00E23236">
      <w:pPr>
        <w:pStyle w:val="Default"/>
        <w:rPr>
          <w:sz w:val="23"/>
          <w:szCs w:val="23"/>
        </w:rPr>
      </w:pPr>
    </w:p>
    <w:p w:rsidR="00773C6F" w:rsidRDefault="00E23236" w:rsidP="00E23236">
      <w:pPr>
        <w:pStyle w:val="Default"/>
        <w:rPr>
          <w:rFonts w:ascii="Bookman Old Style" w:hAnsi="Bookman Old Style"/>
        </w:rPr>
      </w:pPr>
      <w:r w:rsidRPr="00D60327">
        <w:rPr>
          <w:rFonts w:ascii="Bookman Old Style" w:hAnsi="Bookman Old Style"/>
        </w:rPr>
        <w:t>Norsk Presseforbund (NP) og Norsk Redaktørforening (NR)</w:t>
      </w:r>
      <w:r w:rsidR="0003135A" w:rsidRPr="00D60327">
        <w:rPr>
          <w:rFonts w:ascii="Bookman Old Style" w:hAnsi="Bookman Old Style"/>
        </w:rPr>
        <w:t xml:space="preserve"> drister seg til – i erkjennelse </w:t>
      </w:r>
      <w:r w:rsidR="001D302D" w:rsidRPr="00D60327">
        <w:rPr>
          <w:rFonts w:ascii="Bookman Old Style" w:hAnsi="Bookman Old Style"/>
        </w:rPr>
        <w:t>av</w:t>
      </w:r>
      <w:r w:rsidR="00D60327" w:rsidRPr="00D60327">
        <w:rPr>
          <w:rFonts w:ascii="Bookman Old Style" w:hAnsi="Bookman Old Style"/>
        </w:rPr>
        <w:t xml:space="preserve"> og</w:t>
      </w:r>
      <w:r w:rsidR="001D302D" w:rsidRPr="00D60327">
        <w:rPr>
          <w:rFonts w:ascii="Bookman Old Style" w:hAnsi="Bookman Old Style"/>
        </w:rPr>
        <w:t xml:space="preserve"> med</w:t>
      </w:r>
      <w:r w:rsidR="0003135A" w:rsidRPr="00D60327">
        <w:rPr>
          <w:rFonts w:ascii="Bookman Old Style" w:hAnsi="Bookman Old Style"/>
        </w:rPr>
        <w:t xml:space="preserve"> beklagelse over at </w:t>
      </w:r>
      <w:r w:rsidR="00250845">
        <w:rPr>
          <w:rFonts w:ascii="Bookman Old Style" w:hAnsi="Bookman Old Style"/>
        </w:rPr>
        <w:t>norske medier</w:t>
      </w:r>
      <w:r w:rsidR="0003135A" w:rsidRPr="00D60327">
        <w:rPr>
          <w:rFonts w:ascii="Bookman Old Style" w:hAnsi="Bookman Old Style"/>
        </w:rPr>
        <w:t xml:space="preserve"> ennå ikke er gitt ankerett overfor lukkede dører i rettspleien – å be retten vurdere på nytt enkelte deler av kjennelsen av 2. mars 2016.</w:t>
      </w:r>
      <w:r w:rsidR="00D60327">
        <w:rPr>
          <w:rFonts w:ascii="Bookman Old Style" w:hAnsi="Bookman Old Style"/>
        </w:rPr>
        <w:t xml:space="preserve"> Våre anførsler må også ses i lys av at en kjennelse om lukking av rettsforhandling, uten at medienes representanter gis anledning til </w:t>
      </w:r>
      <w:r w:rsidR="00773C6F">
        <w:rPr>
          <w:rFonts w:ascii="Bookman Old Style" w:hAnsi="Bookman Old Style"/>
        </w:rPr>
        <w:t>å være til stede etter d</w:t>
      </w:r>
      <w:r w:rsidR="00793BAA">
        <w:rPr>
          <w:rFonts w:ascii="Bookman Old Style" w:hAnsi="Bookman Old Style"/>
        </w:rPr>
        <w:t>omstol</w:t>
      </w:r>
      <w:r w:rsidR="00773C6F">
        <w:rPr>
          <w:rFonts w:ascii="Bookman Old Style" w:hAnsi="Bookman Old Style"/>
        </w:rPr>
        <w:t>l</w:t>
      </w:r>
      <w:r w:rsidR="00793BAA">
        <w:rPr>
          <w:rFonts w:ascii="Bookman Old Style" w:hAnsi="Bookman Old Style"/>
        </w:rPr>
        <w:t>oven</w:t>
      </w:r>
      <w:r w:rsidR="00773C6F">
        <w:rPr>
          <w:rFonts w:ascii="Bookman Old Style" w:hAnsi="Bookman Old Style"/>
        </w:rPr>
        <w:t xml:space="preserve"> § 127, har samme virkning som fastsettelse av referatforbud etter § 129, og som vitterlig kan </w:t>
      </w:r>
      <w:r w:rsidR="00250845">
        <w:rPr>
          <w:rFonts w:ascii="Bookman Old Style" w:hAnsi="Bookman Old Style"/>
        </w:rPr>
        <w:t>ankes</w:t>
      </w:r>
      <w:r w:rsidR="00773C6F">
        <w:rPr>
          <w:rFonts w:ascii="Bookman Old Style" w:hAnsi="Bookman Old Style"/>
        </w:rPr>
        <w:t xml:space="preserve"> av mediene.</w:t>
      </w:r>
    </w:p>
    <w:p w:rsidR="00773C6F" w:rsidRDefault="00773C6F" w:rsidP="00E23236">
      <w:pPr>
        <w:pStyle w:val="Default"/>
        <w:rPr>
          <w:rFonts w:ascii="Bookman Old Style" w:hAnsi="Bookman Old Style"/>
        </w:rPr>
      </w:pPr>
    </w:p>
    <w:p w:rsidR="00773C6F" w:rsidRDefault="00773C6F" w:rsidP="00E23236">
      <w:pPr>
        <w:pStyle w:val="Default"/>
        <w:rPr>
          <w:rFonts w:ascii="Bookman Old Style" w:hAnsi="Bookman Old Style"/>
        </w:rPr>
      </w:pPr>
      <w:r>
        <w:rPr>
          <w:rFonts w:ascii="Bookman Old Style" w:hAnsi="Bookman Old Style"/>
        </w:rPr>
        <w:t>Før vi k</w:t>
      </w:r>
      <w:r w:rsidR="00250845">
        <w:rPr>
          <w:rFonts w:ascii="Bookman Old Style" w:hAnsi="Bookman Old Style"/>
        </w:rPr>
        <w:t>ommer til de deler av kjennelsen</w:t>
      </w:r>
      <w:r>
        <w:rPr>
          <w:rFonts w:ascii="Bookman Old Style" w:hAnsi="Bookman Old Style"/>
        </w:rPr>
        <w:t xml:space="preserve"> som vi har innvendinger til, vil vi gjerne berømme retten for en både praktisk og prinsipiell god avgjørelse når det gjelder spørsmålet om delvis lukking av dørene ved vitnemålene fra de tre fengselslederne. Vi håper og tror at de viktigste spørsmålene i søksmålet kan behandles uten at det er nødvendig å komme inn på opplysninger som er sensitive i sammenheng med fengselets sikkerhet, og dermed </w:t>
      </w:r>
      <w:r w:rsidR="00250845">
        <w:rPr>
          <w:rFonts w:ascii="Bookman Old Style" w:hAnsi="Bookman Old Style"/>
        </w:rPr>
        <w:t xml:space="preserve">skje </w:t>
      </w:r>
      <w:r>
        <w:rPr>
          <w:rFonts w:ascii="Bookman Old Style" w:hAnsi="Bookman Old Style"/>
        </w:rPr>
        <w:t>for åpne dører.</w:t>
      </w:r>
    </w:p>
    <w:p w:rsidR="00773C6F" w:rsidRDefault="00773C6F" w:rsidP="00E23236">
      <w:pPr>
        <w:pStyle w:val="Default"/>
        <w:rPr>
          <w:rFonts w:ascii="Bookman Old Style" w:hAnsi="Bookman Old Style"/>
        </w:rPr>
      </w:pPr>
    </w:p>
    <w:p w:rsidR="00773C6F" w:rsidRDefault="00773C6F" w:rsidP="00E23236">
      <w:pPr>
        <w:pStyle w:val="Default"/>
        <w:rPr>
          <w:rFonts w:ascii="Bookman Old Style" w:hAnsi="Bookman Old Style"/>
        </w:rPr>
      </w:pPr>
      <w:r>
        <w:rPr>
          <w:rFonts w:ascii="Bookman Old Style" w:hAnsi="Bookman Old Style"/>
        </w:rPr>
        <w:t>Vår anmodning om revurdering gjelder tre spørsmål:</w:t>
      </w:r>
    </w:p>
    <w:p w:rsidR="00773C6F" w:rsidRDefault="00773C6F" w:rsidP="00E23236">
      <w:pPr>
        <w:pStyle w:val="Default"/>
        <w:rPr>
          <w:rFonts w:ascii="Bookman Old Style" w:hAnsi="Bookman Old Style"/>
        </w:rPr>
      </w:pPr>
    </w:p>
    <w:p w:rsidR="00773C6F" w:rsidRDefault="00773C6F" w:rsidP="00773C6F">
      <w:pPr>
        <w:pStyle w:val="Default"/>
        <w:numPr>
          <w:ilvl w:val="0"/>
          <w:numId w:val="1"/>
        </w:numPr>
        <w:rPr>
          <w:rFonts w:ascii="Bookman Old Style" w:hAnsi="Bookman Old Style"/>
        </w:rPr>
      </w:pPr>
      <w:r>
        <w:rPr>
          <w:rFonts w:ascii="Bookman Old Style" w:hAnsi="Bookman Old Style"/>
        </w:rPr>
        <w:t>Lukking av befaringene på Ila fengsel og i Skien fengsel</w:t>
      </w:r>
    </w:p>
    <w:p w:rsidR="00773C6F" w:rsidRDefault="00773C6F" w:rsidP="00773C6F">
      <w:pPr>
        <w:pStyle w:val="Default"/>
        <w:numPr>
          <w:ilvl w:val="0"/>
          <w:numId w:val="1"/>
        </w:numPr>
        <w:rPr>
          <w:rFonts w:ascii="Bookman Old Style" w:hAnsi="Bookman Old Style"/>
        </w:rPr>
      </w:pPr>
      <w:r>
        <w:rPr>
          <w:rFonts w:ascii="Bookman Old Style" w:hAnsi="Bookman Old Style"/>
        </w:rPr>
        <w:t>Rettens beslutning om å begrense opptak/kringkasting av vitnemål</w:t>
      </w:r>
    </w:p>
    <w:p w:rsidR="00773C6F" w:rsidRDefault="00773C6F" w:rsidP="00773C6F">
      <w:pPr>
        <w:pStyle w:val="Default"/>
        <w:numPr>
          <w:ilvl w:val="0"/>
          <w:numId w:val="1"/>
        </w:numPr>
        <w:rPr>
          <w:rFonts w:ascii="Bookman Old Style" w:hAnsi="Bookman Old Style"/>
        </w:rPr>
      </w:pPr>
      <w:r>
        <w:rPr>
          <w:rFonts w:ascii="Bookman Old Style" w:hAnsi="Bookman Old Style"/>
        </w:rPr>
        <w:t>Medienes innsyn i regjeringsadvokatens krav om lukkede dører</w:t>
      </w:r>
    </w:p>
    <w:p w:rsidR="001E76B7" w:rsidRDefault="001E76B7" w:rsidP="00773C6F">
      <w:pPr>
        <w:pStyle w:val="Default"/>
        <w:rPr>
          <w:rFonts w:ascii="Bookman Old Style" w:hAnsi="Bookman Old Style"/>
          <w:b/>
        </w:rPr>
      </w:pPr>
    </w:p>
    <w:p w:rsidR="001E76B7" w:rsidRDefault="001E76B7" w:rsidP="00773C6F">
      <w:pPr>
        <w:pStyle w:val="Default"/>
        <w:rPr>
          <w:rFonts w:ascii="Bookman Old Style" w:hAnsi="Bookman Old Style"/>
          <w:b/>
        </w:rPr>
      </w:pPr>
    </w:p>
    <w:p w:rsidR="00773C6F" w:rsidRPr="00773C6F" w:rsidRDefault="00773C6F" w:rsidP="00773C6F">
      <w:pPr>
        <w:pStyle w:val="Default"/>
        <w:rPr>
          <w:rFonts w:ascii="Bookman Old Style" w:hAnsi="Bookman Old Style"/>
          <w:b/>
        </w:rPr>
      </w:pPr>
      <w:r w:rsidRPr="00773C6F">
        <w:rPr>
          <w:rFonts w:ascii="Bookman Old Style" w:hAnsi="Bookman Old Style"/>
          <w:b/>
        </w:rPr>
        <w:t>a. Lukking av befaringene på Ila fengsel og i Skien fengsel</w:t>
      </w:r>
    </w:p>
    <w:p w:rsidR="008560E4" w:rsidRDefault="00147522" w:rsidP="00773C6F">
      <w:pPr>
        <w:pStyle w:val="Default"/>
        <w:rPr>
          <w:rFonts w:ascii="Bookman Old Style" w:hAnsi="Bookman Old Style"/>
        </w:rPr>
      </w:pPr>
      <w:r>
        <w:rPr>
          <w:rFonts w:ascii="Bookman Old Style" w:hAnsi="Bookman Old Style"/>
        </w:rPr>
        <w:t xml:space="preserve">Retten har besluttet at befaringene begge steder skal skje for lukkede dører, med henvisning til domstolloven § 125 første ledd bokstav c, der det heter at rettsmøte kan holdes for lukkede dører når «særlige forhold gir grunn til frykt for at offentlighet kan vanskeliggjøre sakens opplysning og lukkede dører derfor er påkrevd». </w:t>
      </w:r>
    </w:p>
    <w:p w:rsidR="00EE0A1E" w:rsidRDefault="00EE0A1E" w:rsidP="00773C6F">
      <w:pPr>
        <w:pStyle w:val="Default"/>
        <w:rPr>
          <w:rFonts w:ascii="Bookman Old Style" w:hAnsi="Bookman Old Style"/>
        </w:rPr>
      </w:pPr>
    </w:p>
    <w:p w:rsidR="00773C6F" w:rsidRDefault="00147522" w:rsidP="00773C6F">
      <w:pPr>
        <w:pStyle w:val="Default"/>
        <w:rPr>
          <w:rFonts w:ascii="Bookman Old Style" w:hAnsi="Bookman Old Style"/>
        </w:rPr>
      </w:pPr>
      <w:r>
        <w:rPr>
          <w:rFonts w:ascii="Bookman Old Style" w:hAnsi="Bookman Old Style"/>
        </w:rPr>
        <w:t>Rettens hovedbegrunnelse er de særlige kontrollhensyn som gjelder for de aktuelle fengselsavdelingene, med sikkerhetstiltak som er viktig å holde skjult for allmennheten, og at dersom «representanter for pressen skal delta under befaringene, er det en risiko for at slik informasjon vil kunne gjøres offentlig tilgjengelig».</w:t>
      </w:r>
    </w:p>
    <w:p w:rsidR="00651E07" w:rsidRDefault="00651E07" w:rsidP="00773C6F">
      <w:pPr>
        <w:pStyle w:val="Default"/>
        <w:rPr>
          <w:rFonts w:ascii="Bookman Old Style" w:hAnsi="Bookman Old Style"/>
        </w:rPr>
      </w:pPr>
    </w:p>
    <w:p w:rsidR="00651E07" w:rsidRDefault="00651E07" w:rsidP="00773C6F">
      <w:pPr>
        <w:pStyle w:val="Default"/>
        <w:rPr>
          <w:rFonts w:ascii="Bookman Old Style" w:hAnsi="Bookman Old Style"/>
        </w:rPr>
      </w:pPr>
      <w:r>
        <w:rPr>
          <w:rFonts w:ascii="Bookman Old Style" w:hAnsi="Bookman Old Style"/>
        </w:rPr>
        <w:t>Vi minner i denne forbindelse om at vi foreslo å organisere medienes deltakelse i form av en pool-ordning, med særlig veiledning fra fengselsledelsen for å unngå slik r</w:t>
      </w:r>
      <w:r w:rsidR="00EE0A1E">
        <w:rPr>
          <w:rFonts w:ascii="Bookman Old Style" w:hAnsi="Bookman Old Style"/>
        </w:rPr>
        <w:t>isiko. For helt å fjerne</w:t>
      </w:r>
      <w:r>
        <w:rPr>
          <w:rFonts w:ascii="Bookman Old Style" w:hAnsi="Bookman Old Style"/>
        </w:rPr>
        <w:t xml:space="preserve"> </w:t>
      </w:r>
      <w:r w:rsidR="00F51DBD">
        <w:rPr>
          <w:rFonts w:ascii="Bookman Old Style" w:hAnsi="Bookman Old Style"/>
        </w:rPr>
        <w:t xml:space="preserve">den </w:t>
      </w:r>
      <w:r>
        <w:rPr>
          <w:rFonts w:ascii="Bookman Old Style" w:hAnsi="Bookman Old Style"/>
        </w:rPr>
        <w:t>risiko</w:t>
      </w:r>
      <w:r w:rsidR="00EE0A1E">
        <w:rPr>
          <w:rFonts w:ascii="Bookman Old Style" w:hAnsi="Bookman Old Style"/>
        </w:rPr>
        <w:t xml:space="preserve"> retten frykter</w:t>
      </w:r>
      <w:r>
        <w:rPr>
          <w:rFonts w:ascii="Bookman Old Style" w:hAnsi="Bookman Old Style"/>
        </w:rPr>
        <w:t xml:space="preserve">, foreslår vi </w:t>
      </w:r>
      <w:r w:rsidR="00250845">
        <w:rPr>
          <w:rFonts w:ascii="Bookman Old Style" w:hAnsi="Bookman Old Style"/>
        </w:rPr>
        <w:t xml:space="preserve">derfor </w:t>
      </w:r>
      <w:r>
        <w:rPr>
          <w:rFonts w:ascii="Bookman Old Style" w:hAnsi="Bookman Old Style"/>
        </w:rPr>
        <w:t xml:space="preserve">å redusere medienes representasjon til én representant, og at retten dessuten bruker adgangen i domstolloven § </w:t>
      </w:r>
      <w:r w:rsidR="00EE0A1E">
        <w:rPr>
          <w:rFonts w:ascii="Bookman Old Style" w:hAnsi="Bookman Old Style"/>
        </w:rPr>
        <w:t>128 til å pålegge taushetsplikt for de taushetsbelagte opplysninger som</w:t>
      </w:r>
      <w:r w:rsidR="00250845">
        <w:rPr>
          <w:rFonts w:ascii="Bookman Old Style" w:hAnsi="Bookman Old Style"/>
        </w:rPr>
        <w:t xml:space="preserve"> måtte fremkomme</w:t>
      </w:r>
      <w:r w:rsidR="00EE0A1E">
        <w:rPr>
          <w:rFonts w:ascii="Bookman Old Style" w:hAnsi="Bookman Old Style"/>
        </w:rPr>
        <w:t xml:space="preserve"> under befaringene.</w:t>
      </w:r>
      <w:r w:rsidR="008560E4">
        <w:rPr>
          <w:rFonts w:ascii="Bookman Old Style" w:hAnsi="Bookman Old Style"/>
        </w:rPr>
        <w:t xml:space="preserve"> </w:t>
      </w:r>
    </w:p>
    <w:p w:rsidR="00EE0A1E" w:rsidRDefault="00EE0A1E" w:rsidP="00773C6F">
      <w:pPr>
        <w:pStyle w:val="Default"/>
        <w:rPr>
          <w:rFonts w:ascii="Bookman Old Style" w:hAnsi="Bookman Old Style"/>
        </w:rPr>
      </w:pPr>
    </w:p>
    <w:p w:rsidR="00EE0A1E" w:rsidRDefault="00EE0A1E" w:rsidP="00773C6F">
      <w:pPr>
        <w:pStyle w:val="Default"/>
        <w:rPr>
          <w:rFonts w:ascii="Bookman Old Style" w:hAnsi="Bookman Old Style"/>
        </w:rPr>
      </w:pPr>
      <w:r>
        <w:rPr>
          <w:rFonts w:ascii="Bookman Old Style" w:hAnsi="Bookman Old Style"/>
        </w:rPr>
        <w:t xml:space="preserve">Retten har også trukket frem at </w:t>
      </w:r>
      <w:r w:rsidR="008560E4">
        <w:rPr>
          <w:rFonts w:ascii="Bookman Old Style" w:hAnsi="Bookman Old Style"/>
        </w:rPr>
        <w:t xml:space="preserve">befaringene kan virke forstyrrende på </w:t>
      </w:r>
      <w:r w:rsidR="000E1901">
        <w:rPr>
          <w:rFonts w:ascii="Bookman Old Style" w:hAnsi="Bookman Old Style"/>
        </w:rPr>
        <w:t>innsattes</w:t>
      </w:r>
      <w:r w:rsidR="008560E4">
        <w:rPr>
          <w:rFonts w:ascii="Bookman Old Style" w:hAnsi="Bookman Old Style"/>
        </w:rPr>
        <w:t xml:space="preserve"> dagsorden ved de to fengslene. Det</w:t>
      </w:r>
      <w:r w:rsidR="00C000BC">
        <w:rPr>
          <w:rFonts w:ascii="Bookman Old Style" w:hAnsi="Bookman Old Style"/>
        </w:rPr>
        <w:t>te</w:t>
      </w:r>
      <w:r w:rsidR="008560E4">
        <w:rPr>
          <w:rFonts w:ascii="Bookman Old Style" w:hAnsi="Bookman Old Style"/>
        </w:rPr>
        <w:t xml:space="preserve"> er neppe særlig tungtveiende</w:t>
      </w:r>
      <w:r w:rsidR="00250845">
        <w:rPr>
          <w:rFonts w:ascii="Bookman Old Style" w:hAnsi="Bookman Old Style"/>
        </w:rPr>
        <w:t xml:space="preserve"> hensyn</w:t>
      </w:r>
      <w:r w:rsidR="008560E4">
        <w:rPr>
          <w:rFonts w:ascii="Bookman Old Style" w:hAnsi="Bookman Old Style"/>
        </w:rPr>
        <w:t xml:space="preserve">, og </w:t>
      </w:r>
      <w:r w:rsidR="00250845">
        <w:rPr>
          <w:rFonts w:ascii="Bookman Old Style" w:hAnsi="Bookman Old Style"/>
        </w:rPr>
        <w:t>neppe relevant</w:t>
      </w:r>
      <w:r w:rsidR="008560E4">
        <w:rPr>
          <w:rFonts w:ascii="Bookman Old Style" w:hAnsi="Bookman Old Style"/>
        </w:rPr>
        <w:t xml:space="preserve"> dersom vårt forslag om å redusere antall medierepresentanter til én</w:t>
      </w:r>
      <w:r w:rsidR="00250845">
        <w:rPr>
          <w:rFonts w:ascii="Bookman Old Style" w:hAnsi="Bookman Old Style"/>
        </w:rPr>
        <w:t xml:space="preserve"> tas til følge</w:t>
      </w:r>
      <w:r w:rsidR="008560E4">
        <w:rPr>
          <w:rFonts w:ascii="Bookman Old Style" w:hAnsi="Bookman Old Style"/>
        </w:rPr>
        <w:t>.</w:t>
      </w:r>
    </w:p>
    <w:p w:rsidR="00C000BC" w:rsidRDefault="00C000BC" w:rsidP="00773C6F">
      <w:pPr>
        <w:pStyle w:val="Default"/>
        <w:rPr>
          <w:rFonts w:ascii="Bookman Old Style" w:hAnsi="Bookman Old Style"/>
        </w:rPr>
      </w:pPr>
    </w:p>
    <w:p w:rsidR="00C000BC" w:rsidRDefault="00C000BC" w:rsidP="00773C6F">
      <w:pPr>
        <w:pStyle w:val="Default"/>
        <w:rPr>
          <w:rFonts w:ascii="Bookman Old Style" w:hAnsi="Bookman Old Style"/>
        </w:rPr>
      </w:pPr>
      <w:r>
        <w:rPr>
          <w:rFonts w:ascii="Bookman Old Style" w:hAnsi="Bookman Old Style"/>
        </w:rPr>
        <w:t>At statens representant har påpekt at en «befaring med andre enn rettens aktører vil (..) i praksis umuliggjøre befaring» kan neppe være et «særlig forhold» som retten kan legge vekt på.</w:t>
      </w:r>
    </w:p>
    <w:p w:rsidR="008560E4" w:rsidRDefault="008560E4" w:rsidP="00773C6F">
      <w:pPr>
        <w:pStyle w:val="Default"/>
        <w:rPr>
          <w:rFonts w:ascii="Bookman Old Style" w:hAnsi="Bookman Old Style"/>
        </w:rPr>
      </w:pPr>
    </w:p>
    <w:p w:rsidR="008560E4" w:rsidRDefault="008560E4" w:rsidP="00773C6F">
      <w:pPr>
        <w:pStyle w:val="Default"/>
        <w:rPr>
          <w:rFonts w:ascii="Bookman Old Style" w:hAnsi="Bookman Old Style"/>
        </w:rPr>
      </w:pPr>
      <w:r>
        <w:rPr>
          <w:rFonts w:ascii="Bookman Old Style" w:hAnsi="Bookman Old Style"/>
        </w:rPr>
        <w:t>NP og NR ber retten vurdere avgjørelsen om lukking av befaringene på nytt</w:t>
      </w:r>
      <w:r w:rsidR="00F51DBD">
        <w:rPr>
          <w:rFonts w:ascii="Bookman Old Style" w:hAnsi="Bookman Old Style"/>
        </w:rPr>
        <w:t xml:space="preserve">. </w:t>
      </w:r>
      <w:r w:rsidR="006A0273">
        <w:rPr>
          <w:rFonts w:ascii="Bookman Old Style" w:hAnsi="Bookman Old Style"/>
        </w:rPr>
        <w:t>Slik vi ser det er befarin</w:t>
      </w:r>
      <w:r w:rsidR="007D16E7">
        <w:rPr>
          <w:rFonts w:ascii="Bookman Old Style" w:hAnsi="Bookman Old Style"/>
        </w:rPr>
        <w:t>gen av særlig allmenn interesse</w:t>
      </w:r>
      <w:r w:rsidR="006A0273">
        <w:rPr>
          <w:rFonts w:ascii="Bookman Old Style" w:hAnsi="Bookman Old Style"/>
        </w:rPr>
        <w:t xml:space="preserve">, ettersom </w:t>
      </w:r>
      <w:r w:rsidR="006A0273" w:rsidRPr="006A0273">
        <w:rPr>
          <w:rFonts w:ascii="Bookman Old Style" w:hAnsi="Bookman Old Style"/>
        </w:rPr>
        <w:t xml:space="preserve">de konkrete soningsforholdene </w:t>
      </w:r>
      <w:r w:rsidR="006A0273">
        <w:rPr>
          <w:rFonts w:ascii="Bookman Old Style" w:hAnsi="Bookman Old Style"/>
        </w:rPr>
        <w:t xml:space="preserve">– slik vi oppfatter det - </w:t>
      </w:r>
      <w:r w:rsidR="006A0273" w:rsidRPr="006A0273">
        <w:rPr>
          <w:rFonts w:ascii="Bookman Old Style" w:hAnsi="Bookman Old Style"/>
        </w:rPr>
        <w:t>er i kjernen av selve søksmålet</w:t>
      </w:r>
      <w:r w:rsidR="006A0273">
        <w:rPr>
          <w:rFonts w:ascii="Bookman Old Style" w:hAnsi="Bookman Old Style"/>
        </w:rPr>
        <w:t xml:space="preserve">. </w:t>
      </w:r>
      <w:r w:rsidR="006A0273">
        <w:rPr>
          <w:rFonts w:ascii="Bookman Old Style" w:hAnsi="Bookman Old Style"/>
        </w:rPr>
        <w:br/>
      </w:r>
      <w:r w:rsidR="006A0273">
        <w:rPr>
          <w:rFonts w:ascii="Bookman Old Style" w:hAnsi="Bookman Old Style"/>
        </w:rPr>
        <w:br/>
      </w:r>
      <w:r w:rsidR="00F51DBD">
        <w:rPr>
          <w:rFonts w:ascii="Bookman Old Style" w:hAnsi="Bookman Old Style"/>
        </w:rPr>
        <w:t>V</w:t>
      </w:r>
      <w:r>
        <w:rPr>
          <w:rFonts w:ascii="Bookman Old Style" w:hAnsi="Bookman Old Style"/>
        </w:rPr>
        <w:t>i ber om at vurderingene gjøres separat for de to befaringene, på grunnlag av at retten selv</w:t>
      </w:r>
      <w:r w:rsidR="00C000BC">
        <w:rPr>
          <w:rFonts w:ascii="Bookman Old Style" w:hAnsi="Bookman Old Style"/>
        </w:rPr>
        <w:t xml:space="preserve"> har en noe ulik vurdering av belastningene på de innsatte i de to fengslene. Det er vår oppfatning at vårt forslag til løsning</w:t>
      </w:r>
      <w:r w:rsidR="00F51DBD">
        <w:rPr>
          <w:rFonts w:ascii="Bookman Old Style" w:hAnsi="Bookman Old Style"/>
        </w:rPr>
        <w:t>, med taushetspålegg,</w:t>
      </w:r>
      <w:r w:rsidR="00C000BC">
        <w:rPr>
          <w:rFonts w:ascii="Bookman Old Style" w:hAnsi="Bookman Old Style"/>
        </w:rPr>
        <w:t xml:space="preserve"> tilsier at lukking av dørene ikke lenger er </w:t>
      </w:r>
      <w:r w:rsidR="00C000BC" w:rsidRPr="00F51DBD">
        <w:rPr>
          <w:rFonts w:ascii="Bookman Old Style" w:hAnsi="Bookman Old Style"/>
          <w:i/>
        </w:rPr>
        <w:t>påkrevd</w:t>
      </w:r>
      <w:r w:rsidR="00C000BC">
        <w:rPr>
          <w:rFonts w:ascii="Bookman Old Style" w:hAnsi="Bookman Old Style"/>
        </w:rPr>
        <w:t xml:space="preserve"> for befaringene.</w:t>
      </w:r>
    </w:p>
    <w:p w:rsidR="00147522" w:rsidRDefault="00147522" w:rsidP="00773C6F">
      <w:pPr>
        <w:pStyle w:val="Default"/>
        <w:rPr>
          <w:rFonts w:ascii="Bookman Old Style" w:hAnsi="Bookman Old Style"/>
        </w:rPr>
      </w:pPr>
    </w:p>
    <w:p w:rsidR="00C000BC" w:rsidRDefault="00C000BC" w:rsidP="00773C6F">
      <w:pPr>
        <w:pStyle w:val="Default"/>
        <w:rPr>
          <w:rFonts w:ascii="Bookman Old Style" w:hAnsi="Bookman Old Style"/>
        </w:rPr>
      </w:pPr>
    </w:p>
    <w:p w:rsidR="00F51DBD" w:rsidRPr="00F51DBD" w:rsidRDefault="00F51DBD" w:rsidP="00F51DBD">
      <w:pPr>
        <w:pStyle w:val="Default"/>
        <w:rPr>
          <w:rFonts w:ascii="Bookman Old Style" w:hAnsi="Bookman Old Style"/>
          <w:b/>
        </w:rPr>
      </w:pPr>
      <w:r w:rsidRPr="00F51DBD">
        <w:rPr>
          <w:rFonts w:ascii="Bookman Old Style" w:hAnsi="Bookman Old Style"/>
          <w:b/>
        </w:rPr>
        <w:t xml:space="preserve">b. Rettens </w:t>
      </w:r>
      <w:r w:rsidR="003D1ED2">
        <w:rPr>
          <w:rFonts w:ascii="Bookman Old Style" w:hAnsi="Bookman Old Style"/>
          <w:b/>
        </w:rPr>
        <w:t>beslutning om å begrense kringkasting av vitneforklaringer</w:t>
      </w:r>
    </w:p>
    <w:p w:rsidR="00C000BC" w:rsidRDefault="00C000BC" w:rsidP="00773C6F">
      <w:pPr>
        <w:pStyle w:val="Default"/>
        <w:rPr>
          <w:rFonts w:ascii="Bookman Old Style" w:hAnsi="Bookman Old Style"/>
        </w:rPr>
      </w:pPr>
    </w:p>
    <w:p w:rsidR="00E23236" w:rsidRPr="003D1ED2" w:rsidRDefault="00F51DBD" w:rsidP="00E23236">
      <w:pPr>
        <w:pStyle w:val="Default"/>
        <w:rPr>
          <w:rFonts w:ascii="Bookman Old Style" w:hAnsi="Bookman Old Style"/>
        </w:rPr>
      </w:pPr>
      <w:r w:rsidRPr="003D1ED2">
        <w:rPr>
          <w:rFonts w:ascii="Bookman Old Style" w:hAnsi="Bookman Old Style"/>
        </w:rPr>
        <w:t xml:space="preserve">Retten har tidligere, </w:t>
      </w:r>
      <w:r w:rsidR="003D1ED2" w:rsidRPr="003D1ED2">
        <w:rPr>
          <w:rFonts w:ascii="Bookman Old Style" w:hAnsi="Bookman Old Style"/>
        </w:rPr>
        <w:t>i brev</w:t>
      </w:r>
      <w:r w:rsidR="003D1ED2">
        <w:rPr>
          <w:rFonts w:ascii="Bookman Old Style" w:hAnsi="Bookman Old Style"/>
        </w:rPr>
        <w:t xml:space="preserve"> til NRK datert 8. februar 2016, gitt uttrykk for at «Kringkasting av parts- og vitneforklaringer under hovedforhandlingen tillates derfor ikke.» Beslutningen er tatt med hjemmel i domstolloven § 133.</w:t>
      </w:r>
    </w:p>
    <w:p w:rsidR="00E23236" w:rsidRDefault="00E23236" w:rsidP="00E23236">
      <w:pPr>
        <w:pStyle w:val="Default"/>
      </w:pPr>
    </w:p>
    <w:p w:rsidR="003D1ED2" w:rsidRPr="003D1ED2" w:rsidRDefault="003D1ED2" w:rsidP="00E23236">
      <w:pPr>
        <w:pStyle w:val="Default"/>
        <w:rPr>
          <w:rFonts w:ascii="Bookman Old Style" w:hAnsi="Bookman Old Style"/>
        </w:rPr>
      </w:pPr>
      <w:r w:rsidRPr="003D1ED2">
        <w:rPr>
          <w:rFonts w:ascii="Bookman Old Style" w:hAnsi="Bookman Old Style"/>
        </w:rPr>
        <w:t xml:space="preserve">Sentralt i begrunnelsen for ikke å tillate kringkasting av </w:t>
      </w:r>
      <w:r w:rsidRPr="00793BAA">
        <w:rPr>
          <w:rFonts w:ascii="Bookman Old Style" w:hAnsi="Bookman Old Style"/>
          <w:i/>
        </w:rPr>
        <w:t>vitneforklaringer</w:t>
      </w:r>
      <w:r w:rsidRPr="003D1ED2">
        <w:rPr>
          <w:rFonts w:ascii="Bookman Old Style" w:hAnsi="Bookman Old Style"/>
        </w:rPr>
        <w:t xml:space="preserve"> er at det kan virke f</w:t>
      </w:r>
      <w:r>
        <w:rPr>
          <w:rFonts w:ascii="Bookman Old Style" w:hAnsi="Bookman Old Style"/>
        </w:rPr>
        <w:t>orstyrrende for forhandlingene. Retten skriver:</w:t>
      </w:r>
    </w:p>
    <w:p w:rsidR="00E23236" w:rsidRPr="003D1ED2" w:rsidRDefault="00E23236" w:rsidP="00E23236">
      <w:pPr>
        <w:pStyle w:val="Default"/>
        <w:rPr>
          <w:rFonts w:ascii="Bookman Old Style" w:hAnsi="Bookman Old Style"/>
          <w:sz w:val="28"/>
        </w:rPr>
      </w:pPr>
    </w:p>
    <w:p w:rsidR="00110214" w:rsidRDefault="003D1ED2" w:rsidP="003D1ED2">
      <w:pPr>
        <w:ind w:left="720"/>
        <w:rPr>
          <w:rFonts w:ascii="Bookman Old Style" w:hAnsi="Bookman Old Style"/>
          <w:sz w:val="24"/>
          <w:szCs w:val="23"/>
        </w:rPr>
      </w:pPr>
      <w:r>
        <w:rPr>
          <w:rFonts w:ascii="Bookman Old Style" w:hAnsi="Bookman Old Style"/>
          <w:sz w:val="24"/>
          <w:szCs w:val="23"/>
        </w:rPr>
        <w:t>«</w:t>
      </w:r>
      <w:r w:rsidR="00E23236" w:rsidRPr="003D1ED2">
        <w:rPr>
          <w:rFonts w:ascii="Bookman Old Style" w:hAnsi="Bookman Old Style"/>
          <w:sz w:val="24"/>
          <w:szCs w:val="23"/>
        </w:rPr>
        <w:t>Det er en reell fare for at fjernsynsoverføring vil føre til at vitnene kommer under et ekstra press i en allerede vanskelig sak. Dette vil igjen kunne resultere i at retten får et dårligere grunnlag for sin avgjørelse enn ellers. Videre er retten enig med staten i at det er sikkerhetsmessige motforestillinger mot å synliggjøre de vitner som skal forklare seg om saksøkers soningsforhold.</w:t>
      </w:r>
      <w:r>
        <w:rPr>
          <w:rFonts w:ascii="Bookman Old Style" w:hAnsi="Bookman Old Style"/>
          <w:sz w:val="24"/>
          <w:szCs w:val="23"/>
        </w:rPr>
        <w:t>»</w:t>
      </w:r>
    </w:p>
    <w:p w:rsidR="00250845" w:rsidRDefault="0084486A" w:rsidP="00793BAA">
      <w:pPr>
        <w:rPr>
          <w:rFonts w:ascii="Bookman Old Style" w:hAnsi="Bookman Old Style"/>
          <w:sz w:val="24"/>
          <w:szCs w:val="23"/>
        </w:rPr>
      </w:pPr>
      <w:r>
        <w:rPr>
          <w:rFonts w:ascii="Bookman Old Style" w:hAnsi="Bookman Old Style"/>
          <w:sz w:val="24"/>
          <w:szCs w:val="23"/>
        </w:rPr>
        <w:t xml:space="preserve">Til dette vil vi bemerke at </w:t>
      </w:r>
      <w:r w:rsidR="00D57BC9">
        <w:rPr>
          <w:rFonts w:ascii="Bookman Old Style" w:hAnsi="Bookman Old Style"/>
          <w:sz w:val="24"/>
          <w:szCs w:val="23"/>
        </w:rPr>
        <w:t xml:space="preserve">tilleggsbelastningen ikke kan anses å være særlig stor, ettersom </w:t>
      </w:r>
      <w:r>
        <w:rPr>
          <w:rFonts w:ascii="Bookman Old Style" w:hAnsi="Bookman Old Style"/>
          <w:sz w:val="24"/>
          <w:szCs w:val="23"/>
        </w:rPr>
        <w:t xml:space="preserve">alle forklaringer i rettsmøtet blir filmet </w:t>
      </w:r>
      <w:r w:rsidR="00D57BC9">
        <w:rPr>
          <w:rFonts w:ascii="Bookman Old Style" w:hAnsi="Bookman Old Style"/>
          <w:sz w:val="24"/>
          <w:szCs w:val="23"/>
        </w:rPr>
        <w:t xml:space="preserve">for </w:t>
      </w:r>
      <w:r>
        <w:rPr>
          <w:rFonts w:ascii="Bookman Old Style" w:hAnsi="Bookman Old Style"/>
          <w:sz w:val="24"/>
          <w:szCs w:val="23"/>
        </w:rPr>
        <w:t>overføring til en åpen rettssal i Oslo tinghus</w:t>
      </w:r>
      <w:r w:rsidR="00D57BC9">
        <w:rPr>
          <w:rFonts w:ascii="Bookman Old Style" w:hAnsi="Bookman Old Style"/>
          <w:sz w:val="24"/>
          <w:szCs w:val="23"/>
        </w:rPr>
        <w:t>, for bevaring som historisk materiale og kanskje også til bruk ved eventuell ankebehandling</w:t>
      </w:r>
      <w:r>
        <w:rPr>
          <w:rFonts w:ascii="Bookman Old Style" w:hAnsi="Bookman Old Style"/>
          <w:sz w:val="24"/>
          <w:szCs w:val="23"/>
        </w:rPr>
        <w:t xml:space="preserve">. Etter det vi forstår skal opptak gjøres ved fast plasserte kameraer og som knapt er merkbare for aktørene i salen. </w:t>
      </w:r>
      <w:r w:rsidR="00250845">
        <w:rPr>
          <w:rFonts w:ascii="Bookman Old Style" w:hAnsi="Bookman Old Style"/>
          <w:sz w:val="24"/>
          <w:szCs w:val="23"/>
        </w:rPr>
        <w:t xml:space="preserve">Vi minner </w:t>
      </w:r>
      <w:r w:rsidR="000C3B0A">
        <w:rPr>
          <w:rFonts w:ascii="Bookman Old Style" w:hAnsi="Bookman Old Style"/>
          <w:sz w:val="24"/>
          <w:szCs w:val="23"/>
        </w:rPr>
        <w:t xml:space="preserve">ellers </w:t>
      </w:r>
      <w:r w:rsidR="00250845">
        <w:rPr>
          <w:rFonts w:ascii="Bookman Old Style" w:hAnsi="Bookman Old Style"/>
          <w:sz w:val="24"/>
          <w:szCs w:val="23"/>
        </w:rPr>
        <w:t>om at vi nå har hatt fjernsyn i Norge i mer enn et halvt århundre.</w:t>
      </w:r>
    </w:p>
    <w:p w:rsidR="000C3B0A" w:rsidRDefault="000C3B0A" w:rsidP="00793BAA">
      <w:pPr>
        <w:rPr>
          <w:rFonts w:ascii="Bookman Old Style" w:hAnsi="Bookman Old Style"/>
          <w:sz w:val="24"/>
          <w:szCs w:val="23"/>
        </w:rPr>
      </w:pPr>
      <w:r w:rsidRPr="004422C1">
        <w:rPr>
          <w:rFonts w:ascii="Bookman Old Style" w:hAnsi="Bookman Old Style"/>
          <w:sz w:val="24"/>
          <w:szCs w:val="23"/>
        </w:rPr>
        <w:t xml:space="preserve">Hensynet om «sikkerhetsmessige motforestillinger mot å synliggjøre» vitner som skal forklare seg om saksøkers soningsforhold kan vanskelig få anvendelse. </w:t>
      </w:r>
      <w:r w:rsidR="004422C1">
        <w:rPr>
          <w:rFonts w:ascii="Bookman Old Style" w:hAnsi="Bookman Old Style"/>
          <w:sz w:val="24"/>
          <w:szCs w:val="23"/>
        </w:rPr>
        <w:t>Alle tre vitnene er navngitt, og risiko ved synliggjøring kan neppe være</w:t>
      </w:r>
      <w:r w:rsidR="004422C1" w:rsidRPr="004422C1">
        <w:rPr>
          <w:rFonts w:ascii="Bookman Old Style" w:hAnsi="Bookman Old Style"/>
          <w:sz w:val="24"/>
          <w:szCs w:val="23"/>
        </w:rPr>
        <w:t xml:space="preserve"> relevant for</w:t>
      </w:r>
      <w:r w:rsidRPr="004422C1">
        <w:rPr>
          <w:rFonts w:ascii="Bookman Old Style" w:hAnsi="Bookman Old Style"/>
          <w:sz w:val="24"/>
          <w:szCs w:val="23"/>
        </w:rPr>
        <w:t xml:space="preserve"> direktør Knut Bjarkeid</w:t>
      </w:r>
      <w:r w:rsidR="004422C1" w:rsidRPr="004422C1">
        <w:rPr>
          <w:rFonts w:ascii="Bookman Old Style" w:hAnsi="Bookman Old Style"/>
          <w:sz w:val="24"/>
          <w:szCs w:val="23"/>
        </w:rPr>
        <w:t xml:space="preserve"> ved</w:t>
      </w:r>
      <w:r w:rsidRPr="004422C1">
        <w:rPr>
          <w:rFonts w:ascii="Bookman Old Style" w:hAnsi="Bookman Old Style"/>
          <w:sz w:val="24"/>
          <w:szCs w:val="23"/>
        </w:rPr>
        <w:t xml:space="preserve"> Ila fengsel o</w:t>
      </w:r>
      <w:r w:rsidR="004422C1" w:rsidRPr="004422C1">
        <w:rPr>
          <w:rFonts w:ascii="Bookman Old Style" w:hAnsi="Bookman Old Style"/>
          <w:sz w:val="24"/>
          <w:szCs w:val="23"/>
        </w:rPr>
        <w:t>g forvaringsanstalt</w:t>
      </w:r>
      <w:r w:rsidR="00D57BC9" w:rsidRPr="004422C1">
        <w:rPr>
          <w:rFonts w:ascii="Bookman Old Style" w:hAnsi="Bookman Old Style"/>
          <w:sz w:val="24"/>
          <w:szCs w:val="23"/>
        </w:rPr>
        <w:t xml:space="preserve">, som </w:t>
      </w:r>
      <w:r w:rsidR="004422C1" w:rsidRPr="004422C1">
        <w:rPr>
          <w:rFonts w:ascii="Bookman Old Style" w:hAnsi="Bookman Old Style"/>
          <w:sz w:val="24"/>
          <w:szCs w:val="23"/>
        </w:rPr>
        <w:t>ofte framstår i mediene</w:t>
      </w:r>
      <w:r w:rsidR="00D57BC9" w:rsidRPr="004422C1">
        <w:rPr>
          <w:rFonts w:ascii="Bookman Old Style" w:hAnsi="Bookman Old Style"/>
          <w:sz w:val="24"/>
          <w:szCs w:val="23"/>
        </w:rPr>
        <w:t>.</w:t>
      </w:r>
    </w:p>
    <w:p w:rsidR="00793BAA" w:rsidRDefault="00D57BC9" w:rsidP="00793BAA">
      <w:pPr>
        <w:rPr>
          <w:rFonts w:ascii="Bookman Old Style" w:hAnsi="Bookman Old Style"/>
          <w:sz w:val="24"/>
        </w:rPr>
      </w:pPr>
      <w:r>
        <w:rPr>
          <w:rFonts w:ascii="Bookman Old Style" w:hAnsi="Bookman Old Style"/>
          <w:sz w:val="24"/>
        </w:rPr>
        <w:t xml:space="preserve">Det er vårt syn at </w:t>
      </w:r>
      <w:r w:rsidR="0084486A">
        <w:rPr>
          <w:rFonts w:ascii="Bookman Old Style" w:hAnsi="Bookman Old Style"/>
          <w:sz w:val="24"/>
        </w:rPr>
        <w:t>forbud mot kringkasting i alle fall ikke bør gjelde for så profesjonelle aktører som dr. Randi Rosenquist, avdelingsleder Helga Fastrup Ervik hos Sivilombudsmannen</w:t>
      </w:r>
      <w:r w:rsidR="004422C1">
        <w:rPr>
          <w:rFonts w:ascii="Bookman Old Style" w:hAnsi="Bookman Old Style"/>
          <w:sz w:val="24"/>
        </w:rPr>
        <w:t>, direktør Knut Bjarkeid</w:t>
      </w:r>
      <w:r w:rsidR="0084486A">
        <w:rPr>
          <w:rFonts w:ascii="Bookman Old Style" w:hAnsi="Bookman Old Style"/>
          <w:sz w:val="24"/>
        </w:rPr>
        <w:t xml:space="preserve"> og rådgiver Jørgen Spangen Iversen, og </w:t>
      </w:r>
      <w:r w:rsidR="004422C1">
        <w:rPr>
          <w:rFonts w:ascii="Bookman Old Style" w:hAnsi="Bookman Old Style"/>
          <w:sz w:val="24"/>
        </w:rPr>
        <w:t>heller ikke</w:t>
      </w:r>
      <w:r w:rsidR="0084486A">
        <w:rPr>
          <w:rFonts w:ascii="Bookman Old Style" w:hAnsi="Bookman Old Style"/>
          <w:sz w:val="24"/>
        </w:rPr>
        <w:t xml:space="preserve"> for vitner som ikke selv har motforestillinger til kringkasting.</w:t>
      </w:r>
    </w:p>
    <w:p w:rsidR="00793BAA" w:rsidRDefault="00793BAA" w:rsidP="00793BAA">
      <w:pPr>
        <w:rPr>
          <w:rFonts w:ascii="Bookman Old Style" w:hAnsi="Bookman Old Style"/>
          <w:sz w:val="24"/>
        </w:rPr>
      </w:pPr>
    </w:p>
    <w:p w:rsidR="00793BAA" w:rsidRPr="00793BAA" w:rsidRDefault="00793BAA" w:rsidP="00793BAA">
      <w:pPr>
        <w:rPr>
          <w:rFonts w:ascii="Bookman Old Style" w:hAnsi="Bookman Old Style"/>
          <w:b/>
          <w:sz w:val="24"/>
          <w:szCs w:val="24"/>
        </w:rPr>
      </w:pPr>
      <w:r w:rsidRPr="00793BAA">
        <w:rPr>
          <w:rFonts w:ascii="Bookman Old Style" w:hAnsi="Bookman Old Style"/>
          <w:b/>
          <w:sz w:val="24"/>
          <w:szCs w:val="24"/>
        </w:rPr>
        <w:t>c. Medienes innsyn i regjeringsadvokatens krav om lukkede dører</w:t>
      </w:r>
    </w:p>
    <w:p w:rsidR="00793BAA" w:rsidRDefault="00793BAA" w:rsidP="003D1ED2">
      <w:pPr>
        <w:rPr>
          <w:rFonts w:ascii="Bookman Old Style" w:hAnsi="Bookman Old Style"/>
          <w:sz w:val="24"/>
        </w:rPr>
      </w:pPr>
      <w:r>
        <w:rPr>
          <w:rFonts w:ascii="Bookman Old Style" w:hAnsi="Bookman Old Style"/>
          <w:sz w:val="24"/>
        </w:rPr>
        <w:t xml:space="preserve">Retten </w:t>
      </w:r>
      <w:r w:rsidR="004763A0">
        <w:rPr>
          <w:rFonts w:ascii="Bookman Old Style" w:hAnsi="Bookman Old Style"/>
          <w:sz w:val="24"/>
        </w:rPr>
        <w:t>viser blant annet</w:t>
      </w:r>
      <w:r>
        <w:rPr>
          <w:rFonts w:ascii="Bookman Old Style" w:hAnsi="Bookman Old Style"/>
          <w:sz w:val="24"/>
        </w:rPr>
        <w:t xml:space="preserve"> til tvisteloven § 14-2, der det </w:t>
      </w:r>
      <w:r w:rsidR="004763A0">
        <w:rPr>
          <w:rFonts w:ascii="Bookman Old Style" w:hAnsi="Bookman Old Style"/>
          <w:sz w:val="24"/>
        </w:rPr>
        <w:t xml:space="preserve">etter rettens syn </w:t>
      </w:r>
      <w:r>
        <w:rPr>
          <w:rFonts w:ascii="Bookman Old Style" w:hAnsi="Bookman Old Style"/>
          <w:sz w:val="24"/>
        </w:rPr>
        <w:t>«gis en oppregning av hvilke dokumenter det kan gis innsyn i. Prosesskriv er ikke omfattet i denne oppregningen, og allmennheten har altså ikke et krav på innsyn i denne type dokumenter».</w:t>
      </w:r>
    </w:p>
    <w:p w:rsidR="00D57BC9" w:rsidRPr="00D57BC9" w:rsidRDefault="00793BAA" w:rsidP="00D57BC9">
      <w:pPr>
        <w:rPr>
          <w:i/>
          <w:iCs/>
        </w:rPr>
      </w:pPr>
      <w:r>
        <w:rPr>
          <w:rFonts w:ascii="Bookman Old Style" w:hAnsi="Bookman Old Style"/>
          <w:sz w:val="24"/>
        </w:rPr>
        <w:t xml:space="preserve">Dette er etter vårt syn et lite lojalt sitat fra lovbestemmelsen. Tvisteloven § 14-2 lister opp dokumenter som </w:t>
      </w:r>
      <w:r w:rsidRPr="004763A0">
        <w:rPr>
          <w:rFonts w:ascii="Bookman Old Style" w:hAnsi="Bookman Old Style"/>
          <w:sz w:val="24"/>
          <w:u w:val="single"/>
        </w:rPr>
        <w:t>allmennheten har rettskrav på å få innsyn i</w:t>
      </w:r>
      <w:r>
        <w:rPr>
          <w:rFonts w:ascii="Bookman Old Style" w:hAnsi="Bookman Old Style"/>
          <w:sz w:val="24"/>
        </w:rPr>
        <w:t xml:space="preserve">, men det står ikke noe sted i bestemmelsen at det er forbud mot innsyn i andre dokumenter. </w:t>
      </w:r>
      <w:r w:rsidR="005466D0">
        <w:rPr>
          <w:rFonts w:ascii="Bookman Old Style" w:hAnsi="Bookman Old Style"/>
          <w:sz w:val="24"/>
        </w:rPr>
        <w:t>Offentlighetsprinsippet tilsier da at merinnsyn bør gis</w:t>
      </w:r>
      <w:r w:rsidR="00D57BC9">
        <w:rPr>
          <w:rFonts w:ascii="Bookman Old Style" w:hAnsi="Bookman Old Style"/>
          <w:sz w:val="24"/>
        </w:rPr>
        <w:t xml:space="preserve">, slik det også er anbefalt i dommerforeningens egen håndbok, «Dommerne og mediene», side 63 punkt 7.2: </w:t>
      </w:r>
      <w:r w:rsidR="00D57BC9" w:rsidRPr="00D57BC9">
        <w:rPr>
          <w:rFonts w:ascii="Bookman Old Style" w:hAnsi="Bookman Old Style"/>
          <w:i/>
          <w:sz w:val="24"/>
          <w:szCs w:val="24"/>
        </w:rPr>
        <w:t>«</w:t>
      </w:r>
      <w:r w:rsidR="00D57BC9" w:rsidRPr="00D57BC9">
        <w:rPr>
          <w:rFonts w:ascii="Bookman Old Style" w:hAnsi="Bookman Old Style"/>
          <w:i/>
          <w:iCs/>
          <w:sz w:val="24"/>
          <w:szCs w:val="24"/>
        </w:rPr>
        <w:t>Etter utvalgets mening bør dommerne ha som utgangspunkt at man alltid skal vurdere hvorvidt det bør praktiseres meroffentlighet der det er adgang til det.»</w:t>
      </w:r>
    </w:p>
    <w:p w:rsidR="005466D0" w:rsidRDefault="005466D0" w:rsidP="003D1ED2">
      <w:pPr>
        <w:rPr>
          <w:rFonts w:ascii="Bookman Old Style" w:hAnsi="Bookman Old Style"/>
          <w:sz w:val="24"/>
        </w:rPr>
      </w:pPr>
    </w:p>
    <w:p w:rsidR="00D57BC9" w:rsidRDefault="00475E68" w:rsidP="003D1ED2">
      <w:pPr>
        <w:rPr>
          <w:rFonts w:ascii="Bookman Old Style" w:hAnsi="Bookman Old Style"/>
          <w:sz w:val="24"/>
        </w:rPr>
      </w:pPr>
      <w:r>
        <w:rPr>
          <w:rFonts w:ascii="Bookman Old Style" w:hAnsi="Bookman Old Style"/>
          <w:sz w:val="24"/>
        </w:rPr>
        <w:t xml:space="preserve">Etter vårt syn </w:t>
      </w:r>
      <w:r w:rsidR="005466D0">
        <w:rPr>
          <w:rFonts w:ascii="Bookman Old Style" w:hAnsi="Bookman Old Style"/>
          <w:sz w:val="24"/>
        </w:rPr>
        <w:t>burde</w:t>
      </w:r>
      <w:r>
        <w:rPr>
          <w:rFonts w:ascii="Bookman Old Style" w:hAnsi="Bookman Old Style"/>
          <w:sz w:val="24"/>
        </w:rPr>
        <w:t xml:space="preserve"> det </w:t>
      </w:r>
      <w:r w:rsidR="005466D0">
        <w:rPr>
          <w:rFonts w:ascii="Bookman Old Style" w:hAnsi="Bookman Old Style"/>
          <w:sz w:val="24"/>
        </w:rPr>
        <w:t>vært</w:t>
      </w:r>
      <w:r w:rsidR="00D57BC9">
        <w:rPr>
          <w:rFonts w:ascii="Bookman Old Style" w:hAnsi="Bookman Old Style"/>
          <w:sz w:val="24"/>
        </w:rPr>
        <w:t xml:space="preserve"> </w:t>
      </w:r>
      <w:r w:rsidR="004763A0">
        <w:rPr>
          <w:rFonts w:ascii="Bookman Old Style" w:hAnsi="Bookman Old Style"/>
          <w:sz w:val="24"/>
        </w:rPr>
        <w:t>innlysende at når mediene ble bedt av retten om å gi synspunkter på statens krav om lukkede dører, så burde vi også fått oversendt dokumentet</w:t>
      </w:r>
      <w:r w:rsidR="00D57BC9">
        <w:rPr>
          <w:rFonts w:ascii="Bookman Old Style" w:hAnsi="Bookman Old Style"/>
          <w:sz w:val="24"/>
        </w:rPr>
        <w:t xml:space="preserve">, i tråd med det kontradiktoriske prinsipp. </w:t>
      </w:r>
    </w:p>
    <w:p w:rsidR="00864435" w:rsidRPr="00864435" w:rsidRDefault="00793BAA" w:rsidP="00864435">
      <w:pPr>
        <w:rPr>
          <w:rFonts w:ascii="Bookman Old Style" w:hAnsi="Bookman Old Style"/>
          <w:sz w:val="24"/>
        </w:rPr>
      </w:pPr>
      <w:r>
        <w:rPr>
          <w:rFonts w:ascii="Bookman Old Style" w:hAnsi="Bookman Old Style"/>
          <w:sz w:val="24"/>
        </w:rPr>
        <w:t xml:space="preserve">Retten </w:t>
      </w:r>
      <w:r w:rsidR="004763A0">
        <w:rPr>
          <w:rFonts w:ascii="Bookman Old Style" w:hAnsi="Bookman Old Style"/>
          <w:sz w:val="24"/>
        </w:rPr>
        <w:t>har ikke hatt sans for at mediene skulle få innsyn likt med partene etter § 14-1, i et så sentralt spørsmål som avvik fra offentlighetsprinsippet. Retten ser ikke «tilstrekkelig grunnlag for en analogisk anvendelse av reglene om partsinnsyn for media», heter det, men når retten eksempelvis vurderer forbud</w:t>
      </w:r>
      <w:r w:rsidR="006558FD">
        <w:rPr>
          <w:rFonts w:ascii="Bookman Old Style" w:hAnsi="Bookman Old Style"/>
          <w:sz w:val="24"/>
        </w:rPr>
        <w:t xml:space="preserve"> mot kringkasting (i brev til NRK 8.2.2016), er det</w:t>
      </w:r>
      <w:r w:rsidR="005466D0">
        <w:rPr>
          <w:rFonts w:ascii="Bookman Old Style" w:hAnsi="Bookman Old Style"/>
          <w:sz w:val="24"/>
        </w:rPr>
        <w:t xml:space="preserve"> underlig nok</w:t>
      </w:r>
      <w:r w:rsidR="006558FD">
        <w:rPr>
          <w:rFonts w:ascii="Bookman Old Style" w:hAnsi="Bookman Old Style"/>
          <w:sz w:val="24"/>
        </w:rPr>
        <w:t xml:space="preserve"> ikke særlig vanskelig for retten å se at «saken er så tett knyttet opp mot en straffesak at de hensyn som taler mot kringkasting i st</w:t>
      </w:r>
      <w:r w:rsidR="005466D0">
        <w:rPr>
          <w:rFonts w:ascii="Bookman Old Style" w:hAnsi="Bookman Old Style"/>
          <w:sz w:val="24"/>
        </w:rPr>
        <w:t>r</w:t>
      </w:r>
      <w:r w:rsidR="006558FD">
        <w:rPr>
          <w:rFonts w:ascii="Bookman Old Style" w:hAnsi="Bookman Old Style"/>
          <w:sz w:val="24"/>
        </w:rPr>
        <w:t>affesaker gjør seg gjeldende her».</w:t>
      </w:r>
    </w:p>
    <w:p w:rsidR="00864435" w:rsidRPr="00864435" w:rsidRDefault="00864435" w:rsidP="00864435">
      <w:pPr>
        <w:rPr>
          <w:rFonts w:ascii="Bookman Old Style" w:hAnsi="Bookman Old Style"/>
          <w:iCs/>
          <w:sz w:val="24"/>
        </w:rPr>
      </w:pPr>
      <w:r w:rsidRPr="00864435">
        <w:rPr>
          <w:rFonts w:ascii="Bookman Old Style" w:hAnsi="Bookman Old Style"/>
          <w:iCs/>
          <w:sz w:val="24"/>
        </w:rPr>
        <w:t xml:space="preserve">Retten skriver at den «ikke kan se at EMK artikkel 10 må forstås som en generell offentlighetsregel». Det har vi heller ikke hevdet. Det følger imidlertid av lang og sikker EMD-praksis at når </w:t>
      </w:r>
      <w:r w:rsidRPr="00864435">
        <w:rPr>
          <w:rFonts w:ascii="Bookman Old Style" w:hAnsi="Bookman Old Style"/>
          <w:iCs/>
          <w:sz w:val="24"/>
          <w:u w:val="single"/>
        </w:rPr>
        <w:t>mediene</w:t>
      </w:r>
      <w:r w:rsidRPr="00864435">
        <w:rPr>
          <w:rFonts w:ascii="Bookman Old Style" w:hAnsi="Bookman Old Style"/>
          <w:iCs/>
          <w:sz w:val="24"/>
        </w:rPr>
        <w:t xml:space="preserve"> ber om innsyn i en sak av legitim allmenn interesse får artikkel 10 anvendelse, jfr. Rt-2013-374 avsnitt 44: "De avgjørelsene som jeg har gjennomgått, viser at artikkel 10 i hvert fall er gitt anvendelse der pressen ber om innsyn i saker av legitim allmenn interesse, forutsatt at det er tale om innsyn i opplysninger som allerede foreligger". Det betyr at det kun er tillatt å nekte media innsyn dersom vilkårene i EMK artikkel 10 nr 2 er oppfylt, herunder nødvendighetsvilkåret og vilkåret om legitimt formål (at nektelsen må være nødvendig av hensyn til et av de uttømmende oppregnede formålene i artikkel 10 nr. 2). Det er retten som må begrunne hvorfor disse vilkårene er oppfylt </w:t>
      </w:r>
      <w:r w:rsidRPr="00864435">
        <w:rPr>
          <w:rFonts w:ascii="Bookman Old Style" w:hAnsi="Bookman Old Style"/>
          <w:iCs/>
          <w:sz w:val="24"/>
          <w:u w:val="single"/>
        </w:rPr>
        <w:t>i denne saken</w:t>
      </w:r>
      <w:r w:rsidRPr="00864435">
        <w:rPr>
          <w:rFonts w:ascii="Bookman Old Style" w:hAnsi="Bookman Old Style"/>
          <w:iCs/>
          <w:sz w:val="24"/>
        </w:rPr>
        <w:t xml:space="preserve">. Begrunnelsen må være konkret knyttet til denne saken – det må med andre ord begrunnes hvorfor det foreligger et tvingende samfunnsmessig behov for å nekte media innsyn i dette prosesskrivet og hvilke konkrete hensyn som gjør hemmeligholdelsen nødvendig. </w:t>
      </w:r>
    </w:p>
    <w:p w:rsidR="00864435" w:rsidRPr="00864435" w:rsidRDefault="00864435" w:rsidP="00864435">
      <w:pPr>
        <w:rPr>
          <w:rFonts w:ascii="Bookman Old Style" w:hAnsi="Bookman Old Style"/>
          <w:iCs/>
          <w:sz w:val="24"/>
        </w:rPr>
      </w:pPr>
      <w:r w:rsidRPr="00864435">
        <w:rPr>
          <w:rFonts w:ascii="Bookman Old Style" w:hAnsi="Bookman Old Style"/>
          <w:iCs/>
          <w:sz w:val="24"/>
        </w:rPr>
        <w:t xml:space="preserve">Det er altså </w:t>
      </w:r>
      <w:r w:rsidRPr="00864435">
        <w:rPr>
          <w:rFonts w:ascii="Bookman Old Style" w:hAnsi="Bookman Old Style"/>
          <w:iCs/>
          <w:sz w:val="24"/>
          <w:u w:val="single"/>
        </w:rPr>
        <w:t>nektelsen</w:t>
      </w:r>
      <w:r w:rsidRPr="00864435">
        <w:rPr>
          <w:rFonts w:ascii="Bookman Old Style" w:hAnsi="Bookman Old Style"/>
          <w:iCs/>
          <w:sz w:val="24"/>
        </w:rPr>
        <w:t xml:space="preserve"> av innsyn – og ikke innsyn - som må begrunnes. Og avgjørelsen skal være konkret. I denne saken har imidlertid retten begrunnet hvorfor </w:t>
      </w:r>
      <w:r w:rsidRPr="00864435">
        <w:rPr>
          <w:rFonts w:ascii="Bookman Old Style" w:hAnsi="Bookman Old Style"/>
          <w:iCs/>
          <w:sz w:val="24"/>
          <w:u w:val="single"/>
        </w:rPr>
        <w:t>innsyn</w:t>
      </w:r>
      <w:r w:rsidRPr="00864435">
        <w:rPr>
          <w:rFonts w:ascii="Bookman Old Style" w:hAnsi="Bookman Old Style"/>
          <w:iCs/>
          <w:sz w:val="24"/>
        </w:rPr>
        <w:t xml:space="preserve"> ikke er nødvendig og vist til at staten har prinsipielle grunner. Dette oppfyller ikke kravene etter EMK artikkel 10. </w:t>
      </w:r>
    </w:p>
    <w:p w:rsidR="0066735B" w:rsidRDefault="0066735B" w:rsidP="003D1ED2">
      <w:pPr>
        <w:rPr>
          <w:rFonts w:ascii="Bookman Old Style" w:hAnsi="Bookman Old Style"/>
          <w:sz w:val="24"/>
        </w:rPr>
      </w:pPr>
      <w:r>
        <w:rPr>
          <w:rFonts w:ascii="Bookman Old Style" w:hAnsi="Bookman Old Style"/>
          <w:sz w:val="24"/>
        </w:rPr>
        <w:t>Vi ber retten vurdere på nytt vår</w:t>
      </w:r>
      <w:r w:rsidR="00475E68">
        <w:rPr>
          <w:rFonts w:ascii="Bookman Old Style" w:hAnsi="Bookman Old Style"/>
          <w:sz w:val="24"/>
        </w:rPr>
        <w:t>t</w:t>
      </w:r>
      <w:r>
        <w:rPr>
          <w:rFonts w:ascii="Bookman Old Style" w:hAnsi="Bookman Old Style"/>
          <w:sz w:val="24"/>
        </w:rPr>
        <w:t xml:space="preserve"> ønske om å få tilsendt statens prosesskriv </w:t>
      </w:r>
      <w:r w:rsidR="00475E68">
        <w:rPr>
          <w:rFonts w:ascii="Bookman Old Style" w:hAnsi="Bookman Old Style"/>
          <w:sz w:val="24"/>
        </w:rPr>
        <w:t>med</w:t>
      </w:r>
      <w:r>
        <w:rPr>
          <w:rFonts w:ascii="Bookman Old Style" w:hAnsi="Bookman Old Style"/>
          <w:sz w:val="24"/>
        </w:rPr>
        <w:t xml:space="preserve"> krav om lukkede dører.</w:t>
      </w:r>
    </w:p>
    <w:p w:rsidR="0066735B" w:rsidRPr="00DE3FC5" w:rsidRDefault="0066735B" w:rsidP="0066735B">
      <w:pPr>
        <w:spacing w:after="0" w:line="240" w:lineRule="auto"/>
        <w:jc w:val="center"/>
        <w:rPr>
          <w:rFonts w:ascii="Bookman Old Style" w:hAnsi="Bookman Old Style"/>
          <w:sz w:val="24"/>
        </w:rPr>
      </w:pPr>
      <w:r w:rsidRPr="00DE3FC5">
        <w:rPr>
          <w:rFonts w:ascii="Bookman Old Style" w:hAnsi="Bookman Old Style"/>
          <w:sz w:val="24"/>
        </w:rPr>
        <w:t>Beste hilsen</w:t>
      </w:r>
    </w:p>
    <w:p w:rsidR="0066735B" w:rsidRPr="00DE3FC5" w:rsidRDefault="0066735B" w:rsidP="0066735B">
      <w:pPr>
        <w:spacing w:after="0" w:line="240" w:lineRule="auto"/>
        <w:jc w:val="center"/>
        <w:rPr>
          <w:rFonts w:ascii="Bookman Old Style" w:hAnsi="Bookman Old Style"/>
          <w:sz w:val="24"/>
        </w:rPr>
      </w:pPr>
    </w:p>
    <w:p w:rsidR="0066735B" w:rsidRDefault="0066735B" w:rsidP="0066735B">
      <w:pPr>
        <w:spacing w:after="0" w:line="240" w:lineRule="auto"/>
        <w:ind w:firstLine="720"/>
        <w:rPr>
          <w:rFonts w:ascii="Bookman Old Style" w:hAnsi="Bookman Old Style"/>
          <w:sz w:val="24"/>
        </w:rPr>
      </w:pPr>
      <w:r w:rsidRPr="00DE3FC5">
        <w:rPr>
          <w:rFonts w:ascii="Bookman Old Style" w:hAnsi="Bookman Old Style"/>
          <w:sz w:val="24"/>
        </w:rPr>
        <w:t xml:space="preserve">Norsk Presseforbund          </w:t>
      </w:r>
      <w:r>
        <w:rPr>
          <w:rFonts w:ascii="Bookman Old Style" w:hAnsi="Bookman Old Style"/>
          <w:sz w:val="24"/>
        </w:rPr>
        <w:t xml:space="preserve">                          </w:t>
      </w:r>
      <w:r w:rsidRPr="00DE3FC5">
        <w:rPr>
          <w:rFonts w:ascii="Bookman Old Style" w:hAnsi="Bookman Old Style"/>
          <w:sz w:val="24"/>
        </w:rPr>
        <w:t>Norsk Redaktørforening</w:t>
      </w:r>
    </w:p>
    <w:p w:rsidR="0066735B" w:rsidRDefault="0066735B" w:rsidP="0066735B">
      <w:pPr>
        <w:spacing w:after="0" w:line="240" w:lineRule="auto"/>
        <w:rPr>
          <w:rFonts w:ascii="Bookman Old Style" w:hAnsi="Bookman Old Style"/>
          <w:sz w:val="24"/>
        </w:rPr>
      </w:pPr>
      <w:r>
        <w:rPr>
          <w:rFonts w:ascii="Bookman Old Style" w:hAnsi="Bookman Old Style"/>
          <w:sz w:val="24"/>
        </w:rPr>
        <w:t xml:space="preserve">         </w:t>
      </w:r>
      <w:r>
        <w:rPr>
          <w:rFonts w:ascii="Bookman Old Style" w:hAnsi="Bookman Old Style"/>
          <w:noProof/>
          <w:sz w:val="24"/>
          <w:lang w:eastAsia="nb-NO"/>
        </w:rPr>
        <w:drawing>
          <wp:inline distT="0" distB="0" distL="0" distR="0">
            <wp:extent cx="1626235" cy="873380"/>
            <wp:effectExtent l="0" t="0" r="0" b="317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 Kjersti Løken Stavru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4108" cy="877608"/>
                    </a:xfrm>
                    <a:prstGeom prst="rect">
                      <a:avLst/>
                    </a:prstGeom>
                  </pic:spPr>
                </pic:pic>
              </a:graphicData>
            </a:graphic>
          </wp:inline>
        </w:drawing>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noProof/>
          <w:sz w:val="24"/>
          <w:lang w:eastAsia="nb-NO"/>
        </w:rPr>
        <w:drawing>
          <wp:inline distT="0" distB="0" distL="0" distR="0">
            <wp:extent cx="1674777" cy="792493"/>
            <wp:effectExtent l="0" t="0" r="1905" b="762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 Reidun K. Nybø.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8190" cy="827232"/>
                    </a:xfrm>
                    <a:prstGeom prst="rect">
                      <a:avLst/>
                    </a:prstGeom>
                  </pic:spPr>
                </pic:pic>
              </a:graphicData>
            </a:graphic>
          </wp:inline>
        </w:drawing>
      </w:r>
    </w:p>
    <w:p w:rsidR="0066735B" w:rsidRPr="00DE3FC5" w:rsidRDefault="0066735B" w:rsidP="0066735B">
      <w:pPr>
        <w:spacing w:after="0" w:line="240" w:lineRule="auto"/>
        <w:rPr>
          <w:rFonts w:ascii="Bookman Old Style" w:hAnsi="Bookman Old Style"/>
          <w:sz w:val="24"/>
        </w:rPr>
      </w:pPr>
      <w:r w:rsidRPr="00DE3FC5">
        <w:rPr>
          <w:rFonts w:ascii="Bookman Old Style" w:hAnsi="Bookman Old Style"/>
          <w:sz w:val="24"/>
        </w:rPr>
        <w:tab/>
        <w:t>Kjersti Løken Stavrum</w:t>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t xml:space="preserve">   Reidun Kjelling Nybø</w:t>
      </w:r>
    </w:p>
    <w:p w:rsidR="0066735B" w:rsidRPr="003D1ED2" w:rsidRDefault="0066735B" w:rsidP="00AB03A9">
      <w:pPr>
        <w:spacing w:after="0" w:line="240" w:lineRule="auto"/>
        <w:rPr>
          <w:rFonts w:ascii="Bookman Old Style" w:hAnsi="Bookman Old Style"/>
          <w:sz w:val="24"/>
        </w:rPr>
      </w:pPr>
      <w:r w:rsidRPr="00DE3FC5">
        <w:rPr>
          <w:rFonts w:ascii="Bookman Old Style" w:hAnsi="Bookman Old Style"/>
          <w:sz w:val="24"/>
        </w:rPr>
        <w:tab/>
        <w:t>Generalsekretær</w:t>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t xml:space="preserve">   Kst</w:t>
      </w:r>
      <w:r>
        <w:rPr>
          <w:rFonts w:ascii="Bookman Old Style" w:hAnsi="Bookman Old Style"/>
          <w:sz w:val="24"/>
        </w:rPr>
        <w:t>.</w:t>
      </w:r>
      <w:r w:rsidRPr="00DE3FC5">
        <w:rPr>
          <w:rFonts w:ascii="Bookman Old Style" w:hAnsi="Bookman Old Style"/>
          <w:sz w:val="24"/>
        </w:rPr>
        <w:t xml:space="preserve"> generalsekretær</w:t>
      </w:r>
    </w:p>
    <w:sectPr w:rsidR="0066735B" w:rsidRPr="003D1ED2" w:rsidSect="001E76B7">
      <w:footerReference w:type="default" r:id="rId12"/>
      <w:pgSz w:w="12240" w:h="15840"/>
      <w:pgMar w:top="124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D3" w:rsidRDefault="00A95BD3" w:rsidP="001D302D">
      <w:pPr>
        <w:spacing w:after="0" w:line="240" w:lineRule="auto"/>
      </w:pPr>
      <w:r>
        <w:separator/>
      </w:r>
    </w:p>
  </w:endnote>
  <w:endnote w:type="continuationSeparator" w:id="0">
    <w:p w:rsidR="00A95BD3" w:rsidRDefault="00A95BD3" w:rsidP="001D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915"/>
      <w:docPartObj>
        <w:docPartGallery w:val="Page Numbers (Bottom of Page)"/>
        <w:docPartUnique/>
      </w:docPartObj>
    </w:sdtPr>
    <w:sdtEndPr/>
    <w:sdtContent>
      <w:p w:rsidR="000E1901" w:rsidRDefault="009370B4">
        <w:pPr>
          <w:pStyle w:val="Bunntekst"/>
          <w:jc w:val="right"/>
        </w:pPr>
        <w:r>
          <w:fldChar w:fldCharType="begin"/>
        </w:r>
        <w:r>
          <w:instrText xml:space="preserve"> PAGE   \* MERGEFORMAT </w:instrText>
        </w:r>
        <w:r>
          <w:fldChar w:fldCharType="separate"/>
        </w:r>
        <w:r w:rsidR="00927987">
          <w:rPr>
            <w:noProof/>
          </w:rPr>
          <w:t>1</w:t>
        </w:r>
        <w:r>
          <w:rPr>
            <w:noProof/>
          </w:rPr>
          <w:fldChar w:fldCharType="end"/>
        </w:r>
      </w:p>
    </w:sdtContent>
  </w:sdt>
  <w:p w:rsidR="000E1901" w:rsidRDefault="000E19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D3" w:rsidRDefault="00A95BD3" w:rsidP="001D302D">
      <w:pPr>
        <w:spacing w:after="0" w:line="240" w:lineRule="auto"/>
      </w:pPr>
      <w:r>
        <w:separator/>
      </w:r>
    </w:p>
  </w:footnote>
  <w:footnote w:type="continuationSeparator" w:id="0">
    <w:p w:rsidR="00A95BD3" w:rsidRDefault="00A95BD3" w:rsidP="001D3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519B"/>
    <w:multiLevelType w:val="hybridMultilevel"/>
    <w:tmpl w:val="9F6690B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F94473"/>
    <w:multiLevelType w:val="hybridMultilevel"/>
    <w:tmpl w:val="9F6690B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D116945"/>
    <w:multiLevelType w:val="hybridMultilevel"/>
    <w:tmpl w:val="9F6690B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36"/>
    <w:rsid w:val="00022E3E"/>
    <w:rsid w:val="0003135A"/>
    <w:rsid w:val="00031A8E"/>
    <w:rsid w:val="00033148"/>
    <w:rsid w:val="00077104"/>
    <w:rsid w:val="000C3B0A"/>
    <w:rsid w:val="000E1901"/>
    <w:rsid w:val="000F7117"/>
    <w:rsid w:val="00110214"/>
    <w:rsid w:val="00147522"/>
    <w:rsid w:val="001B75C6"/>
    <w:rsid w:val="001D302D"/>
    <w:rsid w:val="001E76B7"/>
    <w:rsid w:val="00250845"/>
    <w:rsid w:val="0027488B"/>
    <w:rsid w:val="0031461B"/>
    <w:rsid w:val="00320B73"/>
    <w:rsid w:val="003D1ED2"/>
    <w:rsid w:val="004422C1"/>
    <w:rsid w:val="00475E68"/>
    <w:rsid w:val="004763A0"/>
    <w:rsid w:val="005466D0"/>
    <w:rsid w:val="00582D30"/>
    <w:rsid w:val="005C1CA7"/>
    <w:rsid w:val="00651E07"/>
    <w:rsid w:val="006558FD"/>
    <w:rsid w:val="00657107"/>
    <w:rsid w:val="0066735B"/>
    <w:rsid w:val="006A0273"/>
    <w:rsid w:val="00773C6F"/>
    <w:rsid w:val="00776792"/>
    <w:rsid w:val="00793BAA"/>
    <w:rsid w:val="007D16E7"/>
    <w:rsid w:val="0084486A"/>
    <w:rsid w:val="008560E4"/>
    <w:rsid w:val="00864435"/>
    <w:rsid w:val="008C0D74"/>
    <w:rsid w:val="00927987"/>
    <w:rsid w:val="009370B4"/>
    <w:rsid w:val="00A95BD3"/>
    <w:rsid w:val="00AB03A9"/>
    <w:rsid w:val="00B77CBD"/>
    <w:rsid w:val="00C000BC"/>
    <w:rsid w:val="00D57BC9"/>
    <w:rsid w:val="00D60327"/>
    <w:rsid w:val="00E23236"/>
    <w:rsid w:val="00EE0A1E"/>
    <w:rsid w:val="00F5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10A7"/>
  <w15:docId w15:val="{8AD60A94-4C0E-4042-B59A-8370C553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23236"/>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23236"/>
    <w:pPr>
      <w:autoSpaceDE w:val="0"/>
      <w:autoSpaceDN w:val="0"/>
      <w:adjustRightInd w:val="0"/>
      <w:spacing w:after="0" w:line="240" w:lineRule="auto"/>
    </w:pPr>
    <w:rPr>
      <w:rFonts w:ascii="Times New Roman" w:hAnsi="Times New Roman" w:cs="Times New Roman"/>
      <w:color w:val="000000"/>
      <w:sz w:val="24"/>
      <w:szCs w:val="24"/>
      <w:lang w:val="nb-NO"/>
    </w:rPr>
  </w:style>
  <w:style w:type="paragraph" w:styleId="Fotnotetekst">
    <w:name w:val="footnote text"/>
    <w:basedOn w:val="Normal"/>
    <w:link w:val="FotnotetekstTegn"/>
    <w:uiPriority w:val="99"/>
    <w:semiHidden/>
    <w:unhideWhenUsed/>
    <w:rsid w:val="001D302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D302D"/>
    <w:rPr>
      <w:sz w:val="20"/>
      <w:szCs w:val="20"/>
      <w:lang w:val="nb-NO"/>
    </w:rPr>
  </w:style>
  <w:style w:type="character" w:styleId="Fotnotereferanse">
    <w:name w:val="footnote reference"/>
    <w:basedOn w:val="Standardskriftforavsnitt"/>
    <w:uiPriority w:val="99"/>
    <w:semiHidden/>
    <w:unhideWhenUsed/>
    <w:rsid w:val="001D302D"/>
    <w:rPr>
      <w:vertAlign w:val="superscript"/>
    </w:rPr>
  </w:style>
  <w:style w:type="paragraph" w:styleId="Listeavsnitt">
    <w:name w:val="List Paragraph"/>
    <w:basedOn w:val="Normal"/>
    <w:uiPriority w:val="34"/>
    <w:qFormat/>
    <w:rsid w:val="00793BAA"/>
    <w:pPr>
      <w:ind w:left="720"/>
      <w:contextualSpacing/>
    </w:pPr>
  </w:style>
  <w:style w:type="paragraph" w:styleId="Bobletekst">
    <w:name w:val="Balloon Text"/>
    <w:basedOn w:val="Normal"/>
    <w:link w:val="BobletekstTegn"/>
    <w:uiPriority w:val="99"/>
    <w:semiHidden/>
    <w:unhideWhenUsed/>
    <w:rsid w:val="005C1CA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C1CA7"/>
    <w:rPr>
      <w:rFonts w:ascii="Segoe UI" w:hAnsi="Segoe UI" w:cs="Segoe UI"/>
      <w:sz w:val="18"/>
      <w:szCs w:val="18"/>
      <w:lang w:val="nb-NO"/>
    </w:rPr>
  </w:style>
  <w:style w:type="paragraph" w:styleId="Topptekst">
    <w:name w:val="header"/>
    <w:basedOn w:val="Normal"/>
    <w:link w:val="TopptekstTegn"/>
    <w:uiPriority w:val="99"/>
    <w:semiHidden/>
    <w:unhideWhenUsed/>
    <w:rsid w:val="000E19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0E1901"/>
    <w:rPr>
      <w:lang w:val="nb-NO"/>
    </w:rPr>
  </w:style>
  <w:style w:type="paragraph" w:styleId="Bunntekst">
    <w:name w:val="footer"/>
    <w:basedOn w:val="Normal"/>
    <w:link w:val="BunntekstTegn"/>
    <w:uiPriority w:val="99"/>
    <w:unhideWhenUsed/>
    <w:rsid w:val="000E19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E1901"/>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09725">
      <w:bodyDiv w:val="1"/>
      <w:marLeft w:val="0"/>
      <w:marRight w:val="0"/>
      <w:marTop w:val="0"/>
      <w:marBottom w:val="0"/>
      <w:divBdr>
        <w:top w:val="none" w:sz="0" w:space="0" w:color="auto"/>
        <w:left w:val="none" w:sz="0" w:space="0" w:color="auto"/>
        <w:bottom w:val="none" w:sz="0" w:space="0" w:color="auto"/>
        <w:right w:val="none" w:sz="0" w:space="0" w:color="auto"/>
      </w:divBdr>
    </w:div>
    <w:div w:id="21389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252B-8A0D-412D-B323-4FDBA741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1429</Words>
  <Characters>7577</Characters>
  <Application>Microsoft Office Word</Application>
  <DocSecurity>0</DocSecurity>
  <Lines>63</Lines>
  <Paragraphs>17</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Øy</dc:creator>
  <cp:lastModifiedBy>Nils Øy</cp:lastModifiedBy>
  <cp:revision>2</cp:revision>
  <cp:lastPrinted>2016-03-03T22:31:00Z</cp:lastPrinted>
  <dcterms:created xsi:type="dcterms:W3CDTF">2016-03-05T13:07:00Z</dcterms:created>
  <dcterms:modified xsi:type="dcterms:W3CDTF">2016-03-05T13:07:00Z</dcterms:modified>
</cp:coreProperties>
</file>