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A7D5" w14:textId="77777777" w:rsidR="0064427A" w:rsidRPr="0064427A" w:rsidRDefault="0064427A">
      <w:pPr>
        <w:rPr>
          <w:rFonts w:ascii="Garamond" w:hAnsi="Garamond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744"/>
      </w:tblGrid>
      <w:tr w:rsidR="0064427A" w14:paraId="2B738424" w14:textId="77777777">
        <w:tc>
          <w:tcPr>
            <w:tcW w:w="4253" w:type="dxa"/>
          </w:tcPr>
          <w:p w14:paraId="1F03613C" w14:textId="77777777" w:rsidR="0064427A" w:rsidRDefault="0064427A">
            <w:pPr>
              <w:pStyle w:val="Reffelt"/>
              <w:tabs>
                <w:tab w:val="clear" w:pos="4218"/>
                <w:tab w:val="clear" w:pos="9639"/>
              </w:tabs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  <w:t xml:space="preserve"> </w:t>
            </w:r>
          </w:p>
        </w:tc>
        <w:tc>
          <w:tcPr>
            <w:tcW w:w="2977" w:type="dxa"/>
          </w:tcPr>
          <w:p w14:paraId="5FB5FFE1" w14:textId="77777777" w:rsidR="0064427A" w:rsidRDefault="0064427A">
            <w:pPr>
              <w:pStyle w:val="Reffelt"/>
              <w:tabs>
                <w:tab w:val="clear" w:pos="4218"/>
                <w:tab w:val="clear" w:pos="9639"/>
              </w:tabs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  <w:r>
              <w:rPr>
                <w:rFonts w:ascii="Garamond" w:hAnsi="Garamond"/>
                <w:sz w:val="24"/>
              </w:rPr>
              <w:softHyphen/>
            </w:r>
          </w:p>
        </w:tc>
        <w:tc>
          <w:tcPr>
            <w:tcW w:w="2744" w:type="dxa"/>
          </w:tcPr>
          <w:p w14:paraId="642646B5" w14:textId="362CB946" w:rsidR="0064427A" w:rsidRDefault="0064427A" w:rsidP="009B53F3">
            <w:pPr>
              <w:pStyle w:val="Reffelt"/>
              <w:tabs>
                <w:tab w:val="clear" w:pos="4218"/>
                <w:tab w:val="clear" w:pos="9639"/>
              </w:tabs>
              <w:rPr>
                <w:rFonts w:ascii="Garamond" w:hAnsi="Garamond"/>
                <w:sz w:val="24"/>
                <w:lang w:val="en-GB"/>
              </w:rPr>
            </w:pPr>
            <w:r>
              <w:rPr>
                <w:rFonts w:ascii="Garamond" w:hAnsi="Garamond"/>
                <w:sz w:val="24"/>
                <w:lang w:val="en-GB"/>
              </w:rPr>
              <w:t>Oslo, 1</w:t>
            </w:r>
            <w:r w:rsidR="009B53F3">
              <w:rPr>
                <w:rFonts w:ascii="Garamond" w:hAnsi="Garamond"/>
                <w:sz w:val="24"/>
                <w:lang w:val="en-GB"/>
              </w:rPr>
              <w:t>9</w:t>
            </w:r>
            <w:r>
              <w:rPr>
                <w:rFonts w:ascii="Garamond" w:hAnsi="Garamond"/>
                <w:sz w:val="24"/>
                <w:lang w:val="en-GB"/>
              </w:rPr>
              <w:t xml:space="preserve">. </w:t>
            </w:r>
            <w:r w:rsidR="00A01CB2">
              <w:rPr>
                <w:rFonts w:ascii="Garamond" w:hAnsi="Garamond"/>
                <w:sz w:val="24"/>
                <w:lang w:val="en-GB"/>
              </w:rPr>
              <w:t>novem</w:t>
            </w:r>
            <w:r>
              <w:rPr>
                <w:rFonts w:ascii="Garamond" w:hAnsi="Garamond"/>
                <w:sz w:val="24"/>
                <w:lang w:val="en-GB"/>
              </w:rPr>
              <w:t>ber 2015</w:t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  <w:r>
              <w:rPr>
                <w:rFonts w:ascii="Garamond" w:hAnsi="Garamond"/>
                <w:sz w:val="24"/>
                <w:lang w:val="en-GB"/>
              </w:rPr>
              <w:softHyphen/>
            </w:r>
          </w:p>
        </w:tc>
      </w:tr>
    </w:tbl>
    <w:p w14:paraId="09A1329F" w14:textId="77777777" w:rsidR="0064427A" w:rsidRDefault="0064427A">
      <w:pPr>
        <w:rPr>
          <w:rFonts w:ascii="Garamond" w:hAnsi="Garamond"/>
          <w:lang w:val="en-GB"/>
        </w:rPr>
      </w:pPr>
    </w:p>
    <w:p w14:paraId="081FB390" w14:textId="77777777" w:rsidR="0064427A" w:rsidRDefault="0064427A">
      <w:pPr>
        <w:rPr>
          <w:rFonts w:ascii="Garamond" w:hAnsi="Garamond"/>
          <w:lang w:val="en-GB"/>
        </w:rPr>
      </w:pPr>
    </w:p>
    <w:p w14:paraId="43385ED3" w14:textId="77777777" w:rsidR="0064427A" w:rsidRDefault="0064427A">
      <w:pPr>
        <w:rPr>
          <w:rFonts w:ascii="Garamond" w:hAnsi="Garamond"/>
          <w:lang w:val="en-GB"/>
        </w:rPr>
        <w:sectPr w:rsidR="0064427A" w:rsidSect="00F14836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709" w:footer="709" w:gutter="0"/>
          <w:paperSrc w:first="257"/>
          <w:cols w:space="708"/>
          <w:titlePg/>
          <w:docGrid w:linePitch="326"/>
        </w:sectPr>
      </w:pPr>
    </w:p>
    <w:p w14:paraId="649A9161" w14:textId="2AF7FB27" w:rsidR="0064427A" w:rsidRPr="00EF6482" w:rsidRDefault="00A01CB2">
      <w:pPr>
        <w:rPr>
          <w:rFonts w:ascii="Calibri" w:hAnsi="Calibri" w:cs="Calibri"/>
          <w:b/>
          <w:smallCaps/>
          <w:sz w:val="22"/>
        </w:rPr>
      </w:pPr>
      <w:r>
        <w:rPr>
          <w:rFonts w:ascii="Calibri" w:hAnsi="Calibri" w:cs="Calibri"/>
          <w:b/>
          <w:smallCaps/>
          <w:sz w:val="22"/>
        </w:rPr>
        <w:lastRenderedPageBreak/>
        <w:t>H</w:t>
      </w:r>
      <w:r w:rsidR="0064427A" w:rsidRPr="00EF6482">
        <w:rPr>
          <w:rFonts w:ascii="Calibri" w:hAnsi="Calibri" w:cs="Calibri"/>
          <w:b/>
          <w:smallCaps/>
          <w:sz w:val="22"/>
        </w:rPr>
        <w:t xml:space="preserve">øring </w:t>
      </w:r>
      <w:r>
        <w:rPr>
          <w:rFonts w:ascii="Calibri" w:hAnsi="Calibri" w:cs="Calibri"/>
          <w:b/>
          <w:smallCaps/>
          <w:sz w:val="22"/>
        </w:rPr>
        <w:t xml:space="preserve">om Meld. St. 38 (2014-2015) </w:t>
      </w:r>
      <w:r w:rsidRPr="00A01CB2">
        <w:rPr>
          <w:rFonts w:ascii="Calibri" w:hAnsi="Calibri" w:cs="Calibri"/>
          <w:b/>
          <w:i/>
          <w:smallCaps/>
          <w:sz w:val="22"/>
        </w:rPr>
        <w:t>Open og opplyst – Allmennkringkasting og mediemangfald</w:t>
      </w:r>
      <w:r>
        <w:rPr>
          <w:rFonts w:ascii="Calibri" w:hAnsi="Calibri" w:cs="Calibri"/>
          <w:b/>
          <w:smallCaps/>
          <w:sz w:val="22"/>
        </w:rPr>
        <w:t xml:space="preserve"> </w:t>
      </w:r>
      <w:r w:rsidR="0064427A" w:rsidRPr="00EF6482">
        <w:rPr>
          <w:rFonts w:ascii="Calibri" w:hAnsi="Calibri" w:cs="Calibri"/>
          <w:b/>
          <w:smallCaps/>
          <w:sz w:val="22"/>
        </w:rPr>
        <w:t>i F</w:t>
      </w:r>
      <w:r>
        <w:rPr>
          <w:rFonts w:ascii="Calibri" w:hAnsi="Calibri" w:cs="Calibri"/>
          <w:b/>
          <w:smallCaps/>
          <w:sz w:val="22"/>
        </w:rPr>
        <w:t>amilie- og kulturk</w:t>
      </w:r>
      <w:r w:rsidR="0064427A" w:rsidRPr="00EF6482">
        <w:rPr>
          <w:rFonts w:ascii="Calibri" w:hAnsi="Calibri" w:cs="Calibri"/>
          <w:b/>
          <w:smallCaps/>
          <w:sz w:val="22"/>
        </w:rPr>
        <w:t>omiteen 1</w:t>
      </w:r>
      <w:r>
        <w:rPr>
          <w:rFonts w:ascii="Calibri" w:hAnsi="Calibri" w:cs="Calibri"/>
          <w:b/>
          <w:smallCaps/>
          <w:sz w:val="22"/>
        </w:rPr>
        <w:t>9</w:t>
      </w:r>
      <w:r w:rsidR="0064427A" w:rsidRPr="00EF6482">
        <w:rPr>
          <w:rFonts w:ascii="Calibri" w:hAnsi="Calibri" w:cs="Calibri"/>
          <w:b/>
          <w:smallCaps/>
          <w:sz w:val="22"/>
        </w:rPr>
        <w:t>.1</w:t>
      </w:r>
      <w:r>
        <w:rPr>
          <w:rFonts w:ascii="Calibri" w:hAnsi="Calibri" w:cs="Calibri"/>
          <w:b/>
          <w:smallCaps/>
          <w:sz w:val="22"/>
        </w:rPr>
        <w:t>1</w:t>
      </w:r>
      <w:r w:rsidR="0064427A" w:rsidRPr="00EF6482">
        <w:rPr>
          <w:rFonts w:ascii="Calibri" w:hAnsi="Calibri" w:cs="Calibri"/>
          <w:b/>
          <w:smallCaps/>
          <w:sz w:val="22"/>
        </w:rPr>
        <w:t>.2015</w:t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  <w:r w:rsidR="0064427A" w:rsidRPr="00EF6482">
        <w:rPr>
          <w:rFonts w:ascii="Calibri" w:hAnsi="Calibri" w:cs="Calibri"/>
          <w:b/>
          <w:smallCaps/>
          <w:sz w:val="22"/>
        </w:rPr>
        <w:softHyphen/>
      </w:r>
    </w:p>
    <w:p w14:paraId="18C81014" w14:textId="77777777" w:rsidR="0064427A" w:rsidRPr="00EF6482" w:rsidRDefault="0064427A">
      <w:pPr>
        <w:rPr>
          <w:rFonts w:ascii="Calibri" w:hAnsi="Calibri" w:cs="Calibri"/>
          <w:sz w:val="22"/>
        </w:rPr>
      </w:pPr>
    </w:p>
    <w:p w14:paraId="747ACDD1" w14:textId="77777777" w:rsidR="00A01CB2" w:rsidRDefault="00A01CB2" w:rsidP="00A01CB2">
      <w:pPr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Om </w:t>
      </w:r>
      <w:r w:rsidRPr="00347319">
        <w:rPr>
          <w:rFonts w:ascii="Calibri" w:hAnsi="Calibri" w:cs="Calibri"/>
          <w:b/>
          <w:sz w:val="22"/>
        </w:rPr>
        <w:t>Mediebedriftenes Landsforening (MBL)</w:t>
      </w:r>
    </w:p>
    <w:p w14:paraId="2636B7B9" w14:textId="77777777" w:rsidR="00A01CB2" w:rsidRPr="00A01CB2" w:rsidRDefault="00A01CB2" w:rsidP="00A01CB2">
      <w:pPr>
        <w:spacing w:after="120"/>
        <w:rPr>
          <w:rFonts w:ascii="Calibri" w:hAnsi="Calibri" w:cs="Calibri"/>
          <w:sz w:val="22"/>
          <w:szCs w:val="22"/>
        </w:rPr>
      </w:pPr>
      <w:r w:rsidRPr="00A01CB2">
        <w:rPr>
          <w:rFonts w:ascii="Calibri" w:hAnsi="Calibri" w:cs="Calibri"/>
          <w:sz w:val="22"/>
          <w:szCs w:val="22"/>
        </w:rPr>
        <w:t xml:space="preserve">MBL representerer 324 medlemsbedrifter i hele mediebransjen, både de største og de minste: avisbedrifter, ukepresse, fjernsynsselskaper, annonsesamkjøringer, konsern og driftsselskaper, trykkerier, distribusjonsselskaper og andre. </w:t>
      </w:r>
    </w:p>
    <w:p w14:paraId="1C330428" w14:textId="77777777" w:rsidR="00A01CB2" w:rsidRPr="00A01CB2" w:rsidRDefault="00A01CB2" w:rsidP="00A01CB2">
      <w:pPr>
        <w:spacing w:after="120"/>
        <w:rPr>
          <w:rFonts w:ascii="Calibri" w:hAnsi="Calibri" w:cs="Calibri"/>
          <w:sz w:val="22"/>
          <w:szCs w:val="22"/>
        </w:rPr>
      </w:pPr>
      <w:r w:rsidRPr="00A01CB2">
        <w:rPr>
          <w:rFonts w:ascii="Calibri" w:hAnsi="Calibri" w:cs="Calibri"/>
          <w:sz w:val="22"/>
          <w:szCs w:val="22"/>
        </w:rPr>
        <w:t xml:space="preserve">MBL skal bidra til å styrke og verne ytringsfriheten, pressefriheten og informasjonsfriheten, som grunnleggende verdier i et demokratisk og åpent samfunn. MBL skal styrke og verne de publisistiske verdier som representeres av redaktørplakaten og Vær Varsom-plakaten. </w:t>
      </w:r>
    </w:p>
    <w:p w14:paraId="6C33451A" w14:textId="77777777" w:rsidR="00A01CB2" w:rsidRPr="00A01CB2" w:rsidRDefault="00A01CB2" w:rsidP="00A01CB2">
      <w:pPr>
        <w:spacing w:after="120"/>
        <w:rPr>
          <w:rFonts w:ascii="Calibri" w:hAnsi="Calibri" w:cs="Calibri"/>
          <w:sz w:val="22"/>
          <w:szCs w:val="22"/>
        </w:rPr>
      </w:pPr>
      <w:r w:rsidRPr="00A01CB2">
        <w:rPr>
          <w:rFonts w:ascii="Calibri" w:hAnsi="Calibri" w:cs="Calibri"/>
          <w:sz w:val="22"/>
          <w:szCs w:val="22"/>
        </w:rPr>
        <w:t>MBL skal bidra til at et mangfold av økonomisk sunne medier kan fungere som det åpne samfunns arena for fri informasjon, samfunnskritikk og debatt.</w:t>
      </w:r>
    </w:p>
    <w:p w14:paraId="05EED6BB" w14:textId="77777777" w:rsidR="00A01CB2" w:rsidRDefault="00A01CB2" w:rsidP="00A01CB2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06DA38C6" w14:textId="3394EE5D" w:rsidR="004A7378" w:rsidRDefault="004A7378" w:rsidP="00A01CB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Viktig for mediemangfoldet</w:t>
      </w:r>
    </w:p>
    <w:p w14:paraId="4B6317CD" w14:textId="13231681" w:rsidR="004A7378" w:rsidRDefault="004A7378" w:rsidP="00A01CB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Bakteppet for meldingen er en medieutvikling hvor a</w:t>
      </w:r>
      <w:r w:rsidRPr="004A7378">
        <w:rPr>
          <w:rFonts w:ascii="Calibri" w:hAnsi="Calibri" w:cs="Calibri"/>
          <w:sz w:val="22"/>
          <w:szCs w:val="22"/>
        </w:rPr>
        <w:t xml:space="preserve">ktører som tidligere i liten grad konkurrerte </w:t>
      </w:r>
      <w:r>
        <w:rPr>
          <w:rFonts w:ascii="Calibri" w:hAnsi="Calibri" w:cs="Calibri"/>
          <w:sz w:val="22"/>
          <w:szCs w:val="22"/>
        </w:rPr>
        <w:t xml:space="preserve">direkte nå </w:t>
      </w:r>
      <w:r w:rsidRPr="004A7378">
        <w:rPr>
          <w:rFonts w:ascii="Calibri" w:hAnsi="Calibri" w:cs="Calibri"/>
          <w:sz w:val="22"/>
          <w:szCs w:val="22"/>
        </w:rPr>
        <w:t>møtes på en felles arena: den digitale. Digital produksjon og distribusjon har snudd opp ned på publikums bruksmønstre, og dermed også på betalingsstrømmene i bransjen. NRKs rammer handler dermed også om fremtiden for norsk, betalt innholdsproduksjon.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CAE78F2" w14:textId="63D4AE1F" w:rsidR="004A7378" w:rsidRDefault="004A7378" w:rsidP="00A01CB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MBL </w:t>
      </w:r>
      <w:r w:rsidR="00BD02DD">
        <w:rPr>
          <w:rFonts w:ascii="Calibri" w:hAnsi="Calibri" w:cs="Calibri"/>
          <w:sz w:val="22"/>
          <w:szCs w:val="22"/>
        </w:rPr>
        <w:t xml:space="preserve">mener at meldingen har en rekke gode forslag, som er i tråd med de innspill vi hadde. Den slår blant annet fast at det må være </w:t>
      </w:r>
      <w:r w:rsidR="00BD02DD" w:rsidRPr="00BD02DD">
        <w:rPr>
          <w:rFonts w:ascii="Calibri" w:hAnsi="Calibri" w:cs="Calibri"/>
          <w:sz w:val="22"/>
          <w:szCs w:val="22"/>
        </w:rPr>
        <w:t>balanse mellom private og offentl</w:t>
      </w:r>
      <w:r w:rsidR="00BD02DD">
        <w:rPr>
          <w:rFonts w:ascii="Calibri" w:hAnsi="Calibri" w:cs="Calibri"/>
          <w:sz w:val="22"/>
          <w:szCs w:val="22"/>
        </w:rPr>
        <w:t>ig finansierte medier, viktigheten av at det eksisterer e</w:t>
      </w:r>
      <w:r w:rsidR="00BD02DD" w:rsidRPr="00BD02DD">
        <w:rPr>
          <w:rFonts w:ascii="Calibri" w:hAnsi="Calibri" w:cs="Calibri"/>
          <w:sz w:val="22"/>
          <w:szCs w:val="22"/>
        </w:rPr>
        <w:t>t komme</w:t>
      </w:r>
      <w:r w:rsidR="00BD02DD">
        <w:rPr>
          <w:rFonts w:ascii="Calibri" w:hAnsi="Calibri" w:cs="Calibri"/>
          <w:sz w:val="22"/>
          <w:szCs w:val="22"/>
        </w:rPr>
        <w:t>rsielt allmennkringkastingstilbu</w:t>
      </w:r>
      <w:r w:rsidR="00BD02DD" w:rsidRPr="00BD02DD">
        <w:rPr>
          <w:rFonts w:ascii="Calibri" w:hAnsi="Calibri" w:cs="Calibri"/>
          <w:sz w:val="22"/>
          <w:szCs w:val="22"/>
        </w:rPr>
        <w:t xml:space="preserve">d </w:t>
      </w:r>
      <w:r w:rsidR="00BD02DD">
        <w:rPr>
          <w:rFonts w:ascii="Calibri" w:hAnsi="Calibri" w:cs="Calibri"/>
          <w:sz w:val="22"/>
          <w:szCs w:val="22"/>
        </w:rPr>
        <w:t xml:space="preserve">og betydningen av </w:t>
      </w:r>
      <w:r w:rsidR="00BD02DD" w:rsidRPr="00BD02DD">
        <w:rPr>
          <w:rFonts w:ascii="Calibri" w:hAnsi="Calibri" w:cs="Calibri"/>
          <w:sz w:val="22"/>
          <w:szCs w:val="22"/>
        </w:rPr>
        <w:t>å sikre rammevilkår som legg</w:t>
      </w:r>
      <w:r w:rsidR="00BD02DD">
        <w:rPr>
          <w:rFonts w:ascii="Calibri" w:hAnsi="Calibri" w:cs="Calibri"/>
          <w:sz w:val="22"/>
          <w:szCs w:val="22"/>
        </w:rPr>
        <w:t>er</w:t>
      </w:r>
      <w:r w:rsidR="00BD02DD" w:rsidRPr="00BD02DD">
        <w:rPr>
          <w:rFonts w:ascii="Calibri" w:hAnsi="Calibri" w:cs="Calibri"/>
          <w:sz w:val="22"/>
          <w:szCs w:val="22"/>
        </w:rPr>
        <w:t xml:space="preserve"> til rette for en innovativ og konkurransedyktig kommersiell mediesektor.</w:t>
      </w:r>
      <w:r w:rsidR="00BD02DD">
        <w:rPr>
          <w:rFonts w:ascii="Calibri" w:hAnsi="Calibri" w:cs="Calibri"/>
          <w:sz w:val="22"/>
          <w:szCs w:val="22"/>
        </w:rPr>
        <w:t xml:space="preserve"> Vi opplever at det er bred enighet både i bransjen og på Stortinget om </w:t>
      </w:r>
      <w:r w:rsidR="00E35397">
        <w:rPr>
          <w:rFonts w:ascii="Calibri" w:hAnsi="Calibri" w:cs="Calibri"/>
          <w:sz w:val="22"/>
          <w:szCs w:val="22"/>
        </w:rPr>
        <w:t>mye i meldingen</w:t>
      </w:r>
      <w:r w:rsidR="00BD02DD">
        <w:rPr>
          <w:rFonts w:ascii="Calibri" w:hAnsi="Calibri" w:cs="Calibri"/>
          <w:sz w:val="22"/>
          <w:szCs w:val="22"/>
        </w:rPr>
        <w:t xml:space="preserve">. </w:t>
      </w:r>
    </w:p>
    <w:p w14:paraId="5733E41F" w14:textId="77777777" w:rsidR="004A7378" w:rsidRPr="00A01CB2" w:rsidRDefault="004A7378" w:rsidP="00A01CB2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3BF98785" w14:textId="634870B7" w:rsidR="00416793" w:rsidRPr="00A01CB2" w:rsidRDefault="00BA4E7D" w:rsidP="00A01CB2">
      <w:p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Mediemangfold og NRK</w:t>
      </w:r>
    </w:p>
    <w:p w14:paraId="49226761" w14:textId="059E6C20" w:rsidR="00D7759F" w:rsidRDefault="00D7759F" w:rsidP="00D7759F">
      <w:pPr>
        <w:pStyle w:val="Listeavsnitt"/>
        <w:spacing w:after="120"/>
        <w:ind w:left="0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MBLs kanskje viktigste innspill til Kulturdepartementet i arbeidet med meldingen var at </w:t>
      </w:r>
      <w:r w:rsidRPr="00D7759F">
        <w:rPr>
          <w:rFonts w:eastAsia="Times New Roman"/>
          <w:lang w:eastAsia="nb-NO"/>
        </w:rPr>
        <w:t xml:space="preserve">NRK </w:t>
      </w:r>
      <w:r>
        <w:rPr>
          <w:rFonts w:eastAsia="Times New Roman"/>
          <w:lang w:eastAsia="nb-NO"/>
        </w:rPr>
        <w:t>må ha</w:t>
      </w:r>
      <w:r w:rsidRPr="00D7759F">
        <w:rPr>
          <w:rFonts w:eastAsia="Times New Roman"/>
          <w:lang w:eastAsia="nb-NO"/>
        </w:rPr>
        <w:t xml:space="preserve"> et selvstendig ansvar for å bidra til det norske mediemangfoldet</w:t>
      </w:r>
      <w:r>
        <w:rPr>
          <w:rFonts w:eastAsia="Times New Roman"/>
          <w:lang w:eastAsia="nb-NO"/>
        </w:rPr>
        <w:t xml:space="preserve"> – at </w:t>
      </w:r>
      <w:r w:rsidRPr="00D7759F">
        <w:rPr>
          <w:rFonts w:eastAsia="Times New Roman"/>
          <w:lang w:eastAsia="nb-NO"/>
        </w:rPr>
        <w:t xml:space="preserve">NRK </w:t>
      </w:r>
      <w:r>
        <w:rPr>
          <w:rFonts w:eastAsia="Times New Roman"/>
          <w:lang w:eastAsia="nb-NO"/>
        </w:rPr>
        <w:t xml:space="preserve">må ha </w:t>
      </w:r>
      <w:r w:rsidRPr="00D7759F">
        <w:rPr>
          <w:rFonts w:eastAsia="Times New Roman"/>
          <w:lang w:eastAsia="nb-NO"/>
        </w:rPr>
        <w:t>plikt</w:t>
      </w:r>
      <w:r>
        <w:rPr>
          <w:rFonts w:eastAsia="Times New Roman"/>
          <w:lang w:eastAsia="nb-NO"/>
        </w:rPr>
        <w:t xml:space="preserve"> til</w:t>
      </w:r>
      <w:r w:rsidRPr="00D7759F">
        <w:rPr>
          <w:rFonts w:eastAsia="Times New Roman"/>
          <w:lang w:eastAsia="nb-NO"/>
        </w:rPr>
        <w:t xml:space="preserve"> selv aktivt å vurdere de konkurransemessige effektene av sitt tilbud, ikke bare i forbindelse med utvikling av eventuelle nye tjenester, men også innenfor kjernevirksomheten.</w:t>
      </w:r>
      <w:r>
        <w:rPr>
          <w:rFonts w:eastAsia="Times New Roman"/>
          <w:lang w:eastAsia="nb-NO"/>
        </w:rPr>
        <w:t xml:space="preserve"> </w:t>
      </w:r>
    </w:p>
    <w:p w14:paraId="5D4FAB0C" w14:textId="66DE98B7" w:rsidR="00416793" w:rsidRDefault="00D7759F" w:rsidP="00E50849">
      <w:pPr>
        <w:pStyle w:val="Listeavsnitt"/>
        <w:spacing w:after="120"/>
        <w:ind w:left="0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Dette slås også fast i meldingen. </w:t>
      </w:r>
      <w:r w:rsidR="00E50849" w:rsidRPr="00E50849">
        <w:rPr>
          <w:rFonts w:eastAsia="Times New Roman"/>
          <w:lang w:eastAsia="nb-NO"/>
        </w:rPr>
        <w:t xml:space="preserve">Nå får </w:t>
      </w:r>
      <w:r w:rsidR="00E50849">
        <w:rPr>
          <w:rFonts w:eastAsia="Times New Roman"/>
          <w:lang w:eastAsia="nb-NO"/>
        </w:rPr>
        <w:t>NRK</w:t>
      </w:r>
      <w:r w:rsidR="00E50849" w:rsidRPr="00E50849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 xml:space="preserve">derfor </w:t>
      </w:r>
      <w:r w:rsidR="00E50849" w:rsidRPr="00E50849">
        <w:rPr>
          <w:rFonts w:eastAsia="Times New Roman"/>
          <w:lang w:eastAsia="nb-NO"/>
        </w:rPr>
        <w:t xml:space="preserve">et helt annerledes måleinstrument. </w:t>
      </w:r>
      <w:r w:rsidR="00E50849">
        <w:rPr>
          <w:rFonts w:eastAsia="Times New Roman"/>
          <w:lang w:eastAsia="nb-NO"/>
        </w:rPr>
        <w:t>NRK skal måles på om man</w:t>
      </w:r>
      <w:r w:rsidR="00E50849" w:rsidRPr="00E50849">
        <w:rPr>
          <w:rFonts w:eastAsia="Times New Roman"/>
          <w:lang w:eastAsia="nb-NO"/>
        </w:rPr>
        <w:t xml:space="preserve"> bidrar til økt mangfold. Det kan føre til at de slutter å gjøre noe – fordi andre gjør dette mer enn godt nok – og det kan føre til at de begynner å gjøre noe – fordi andre ikke gjør det i det hele tatt.</w:t>
      </w:r>
      <w:r w:rsidR="00E50849">
        <w:rPr>
          <w:rFonts w:eastAsia="Times New Roman"/>
          <w:lang w:eastAsia="nb-NO"/>
        </w:rPr>
        <w:t xml:space="preserve"> </w:t>
      </w:r>
      <w:r w:rsidR="00E50849" w:rsidRPr="00E50849">
        <w:rPr>
          <w:rFonts w:eastAsia="Times New Roman"/>
          <w:lang w:eastAsia="nb-NO"/>
        </w:rPr>
        <w:t>Dette er en helt ny måte å tenke på som NRK må ta inn over seg.</w:t>
      </w:r>
      <w:r w:rsidR="00E50849">
        <w:rPr>
          <w:rFonts w:eastAsia="Times New Roman"/>
          <w:lang w:eastAsia="nb-NO"/>
        </w:rPr>
        <w:t xml:space="preserve"> </w:t>
      </w:r>
    </w:p>
    <w:p w14:paraId="7BB0812F" w14:textId="5063E401" w:rsidR="00D7759F" w:rsidRDefault="00D7759F" w:rsidP="00EC04B9">
      <w:pPr>
        <w:pStyle w:val="Listeavsnitt"/>
        <w:spacing w:after="120"/>
        <w:ind w:left="0"/>
        <w:rPr>
          <w:rFonts w:eastAsia="Times New Roman"/>
          <w:lang w:eastAsia="nb-NO"/>
        </w:rPr>
      </w:pPr>
      <w:r w:rsidRPr="00E50849">
        <w:rPr>
          <w:rFonts w:eastAsia="Times New Roman"/>
          <w:lang w:eastAsia="nb-NO"/>
        </w:rPr>
        <w:t xml:space="preserve">NRK </w:t>
      </w:r>
      <w:r>
        <w:rPr>
          <w:rFonts w:eastAsia="Times New Roman"/>
          <w:lang w:eastAsia="nb-NO"/>
        </w:rPr>
        <w:t>er</w:t>
      </w:r>
      <w:r w:rsidRPr="00E50849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>i dag svært</w:t>
      </w:r>
      <w:r w:rsidRPr="00E50849">
        <w:rPr>
          <w:rFonts w:eastAsia="Times New Roman"/>
          <w:lang w:eastAsia="nb-NO"/>
        </w:rPr>
        <w:t xml:space="preserve"> konkurranseorientert i forhold til de øvrige aktørene i bransjen. </w:t>
      </w:r>
      <w:r>
        <w:rPr>
          <w:rFonts w:eastAsia="Times New Roman"/>
          <w:lang w:eastAsia="nb-NO"/>
        </w:rPr>
        <w:t>NRK</w:t>
      </w:r>
      <w:r w:rsidRPr="00E50849">
        <w:rPr>
          <w:rFonts w:eastAsia="Times New Roman"/>
          <w:lang w:eastAsia="nb-NO"/>
        </w:rPr>
        <w:t xml:space="preserve"> vurderer rating som andre – klikk som andre – seertall som andre.</w:t>
      </w:r>
      <w:r>
        <w:rPr>
          <w:rFonts w:eastAsia="Times New Roman"/>
          <w:lang w:eastAsia="nb-NO"/>
        </w:rPr>
        <w:t xml:space="preserve"> </w:t>
      </w:r>
      <w:r w:rsidR="00B70229">
        <w:rPr>
          <w:rFonts w:eastAsia="Times New Roman"/>
          <w:lang w:eastAsia="nb-NO"/>
        </w:rPr>
        <w:t>Dette kan ikke være det eneste man måler NRKs suksess på.</w:t>
      </w:r>
      <w:r w:rsidR="00EC04B9">
        <w:rPr>
          <w:rFonts w:eastAsia="Times New Roman"/>
          <w:lang w:eastAsia="nb-NO"/>
        </w:rPr>
        <w:t xml:space="preserve"> </w:t>
      </w:r>
      <w:r w:rsidR="00EC04B9" w:rsidRPr="00EC04B9">
        <w:rPr>
          <w:rFonts w:eastAsia="Times New Roman"/>
          <w:lang w:eastAsia="nb-NO"/>
        </w:rPr>
        <w:t>Samfunns- og</w:t>
      </w:r>
      <w:r w:rsidR="00EC04B9">
        <w:rPr>
          <w:rFonts w:eastAsia="Times New Roman"/>
          <w:lang w:eastAsia="nb-NO"/>
        </w:rPr>
        <w:t xml:space="preserve"> </w:t>
      </w:r>
      <w:r w:rsidR="00EC04B9" w:rsidRPr="00EC04B9">
        <w:rPr>
          <w:rFonts w:eastAsia="Times New Roman"/>
          <w:lang w:eastAsia="nb-NO"/>
        </w:rPr>
        <w:t>næringslivsforskning</w:t>
      </w:r>
      <w:r w:rsidR="00EC04B9">
        <w:rPr>
          <w:rFonts w:eastAsia="Times New Roman"/>
          <w:lang w:eastAsia="nb-NO"/>
        </w:rPr>
        <w:t xml:space="preserve"> AS ved NHH sier det slik</w:t>
      </w:r>
      <w:r w:rsidR="007F70EB">
        <w:rPr>
          <w:rStyle w:val="Fotnotereferanse"/>
          <w:rFonts w:eastAsia="Times New Roman"/>
          <w:lang w:eastAsia="nb-NO"/>
        </w:rPr>
        <w:footnoteReference w:id="1"/>
      </w:r>
      <w:r w:rsidR="00EC04B9">
        <w:rPr>
          <w:rFonts w:eastAsia="Times New Roman"/>
          <w:lang w:eastAsia="nb-NO"/>
        </w:rPr>
        <w:t xml:space="preserve">: </w:t>
      </w:r>
    </w:p>
    <w:p w14:paraId="23FA1F0E" w14:textId="3A8CC90B" w:rsidR="00EC04B9" w:rsidRDefault="00EC04B9" w:rsidP="00EC04B9">
      <w:pPr>
        <w:pStyle w:val="Listeavsnitt"/>
        <w:spacing w:after="120"/>
        <w:ind w:left="708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"</w:t>
      </w:r>
      <w:r w:rsidR="007F70EB">
        <w:rPr>
          <w:rFonts w:eastAsia="Times New Roman"/>
          <w:lang w:eastAsia="nb-NO"/>
        </w:rPr>
        <w:t>NRK sin rolle som allmennkringkaster innebærer at de ikke bør ha som målsetting å ha flest mulig lesere til enhver tid, men at de i stedet bør opptre på en måte som bidrar til størst mulig mangfold og bredde totalt i markedet og dermed bidrar til et gunstig totaltilbud for leserne på nettet.</w:t>
      </w:r>
      <w:r>
        <w:rPr>
          <w:rFonts w:eastAsia="Times New Roman"/>
          <w:lang w:eastAsia="nb-NO"/>
        </w:rPr>
        <w:t>"</w:t>
      </w:r>
    </w:p>
    <w:p w14:paraId="43D3BC2B" w14:textId="00AA7BC4" w:rsidR="00B70229" w:rsidRDefault="00B70229" w:rsidP="00D7759F">
      <w:pPr>
        <w:pStyle w:val="Listeavsnitt"/>
        <w:spacing w:after="120"/>
        <w:ind w:left="0"/>
        <w:rPr>
          <w:rFonts w:eastAsia="Times New Roman"/>
          <w:lang w:eastAsia="nb-NO"/>
        </w:rPr>
      </w:pPr>
      <w:r w:rsidRPr="00B70229">
        <w:rPr>
          <w:rFonts w:eastAsia="Times New Roman"/>
          <w:lang w:eastAsia="nb-NO"/>
        </w:rPr>
        <w:lastRenderedPageBreak/>
        <w:t xml:space="preserve">NRK er en mediegigant som både har stor makt og stor gjennomslagskraft. </w:t>
      </w:r>
      <w:r>
        <w:rPr>
          <w:rFonts w:eastAsia="Times New Roman"/>
          <w:lang w:eastAsia="nb-NO"/>
        </w:rPr>
        <w:t xml:space="preserve">NRK må </w:t>
      </w:r>
      <w:r w:rsidRPr="00B70229">
        <w:rPr>
          <w:rFonts w:eastAsia="Times New Roman"/>
          <w:lang w:eastAsia="nb-NO"/>
        </w:rPr>
        <w:t xml:space="preserve">utøve sin virksomhet med et svært bevisst forhold til hvilke konkurransemessige effekter virksomheten har på det kommersielle markedet. Det ville være </w:t>
      </w:r>
      <w:r>
        <w:rPr>
          <w:rFonts w:eastAsia="Times New Roman"/>
          <w:lang w:eastAsia="nb-NO"/>
        </w:rPr>
        <w:t xml:space="preserve">svært </w:t>
      </w:r>
      <w:r w:rsidRPr="00B70229">
        <w:rPr>
          <w:rFonts w:eastAsia="Times New Roman"/>
          <w:lang w:eastAsia="nb-NO"/>
        </w:rPr>
        <w:t xml:space="preserve">betenkelig om statlig medievirksomhet skulle utkonkurrere private medieaktører som er viktige for demokratiet. </w:t>
      </w:r>
      <w:r>
        <w:rPr>
          <w:rFonts w:eastAsia="Times New Roman"/>
          <w:lang w:eastAsia="nb-NO"/>
        </w:rPr>
        <w:t>Det må etableres rapporteringsrutiner for å</w:t>
      </w:r>
      <w:r w:rsidRPr="00B70229">
        <w:rPr>
          <w:rFonts w:eastAsia="Times New Roman"/>
          <w:lang w:eastAsia="nb-NO"/>
        </w:rPr>
        <w:t xml:space="preserve"> vurdere de konkurransemessige virkningene av sitt tilbud, ikke bare ved eventuell etablering av nye tjenester, men også innenfor kjernevirksomheten.</w:t>
      </w:r>
      <w:r>
        <w:rPr>
          <w:rFonts w:eastAsia="Times New Roman"/>
          <w:lang w:eastAsia="nb-NO"/>
        </w:rPr>
        <w:t xml:space="preserve"> Det må også etableres ordninger hvor NRK aktivt støtter opp om kommersielle mediers virksomhet, for eksempel gjennom tilgang til arkivstoff, deling av innhold</w:t>
      </w:r>
      <w:r w:rsidR="007F70EB">
        <w:rPr>
          <w:rFonts w:eastAsia="Times New Roman"/>
          <w:lang w:eastAsia="nb-NO"/>
        </w:rPr>
        <w:t>, lenking</w:t>
      </w:r>
      <w:r>
        <w:rPr>
          <w:rFonts w:eastAsia="Times New Roman"/>
          <w:lang w:eastAsia="nb-NO"/>
        </w:rPr>
        <w:t xml:space="preserve"> og så videre. </w:t>
      </w:r>
      <w:r w:rsidR="007F70EB">
        <w:rPr>
          <w:rFonts w:eastAsia="Times New Roman"/>
          <w:lang w:eastAsia="nb-NO"/>
        </w:rPr>
        <w:t xml:space="preserve">I dette arbeidet ønsker bransjen å bidra konstruktivt. </w:t>
      </w:r>
    </w:p>
    <w:p w14:paraId="45D4DF0A" w14:textId="77777777" w:rsidR="00416793" w:rsidRPr="00A01CB2" w:rsidRDefault="00416793" w:rsidP="00A01CB2">
      <w:pPr>
        <w:spacing w:after="120"/>
        <w:rPr>
          <w:rFonts w:ascii="Calibri" w:hAnsi="Calibri" w:cs="Calibri"/>
          <w:sz w:val="22"/>
          <w:szCs w:val="22"/>
        </w:rPr>
      </w:pPr>
    </w:p>
    <w:p w14:paraId="127D623F" w14:textId="2FB7E1C9" w:rsidR="00416793" w:rsidRPr="00A01CB2" w:rsidRDefault="00EC04B9" w:rsidP="00A01CB2">
      <w:p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Behov for to allmennkringkastere</w:t>
      </w:r>
    </w:p>
    <w:p w14:paraId="2BEC2104" w14:textId="7458C18C" w:rsidR="00B70229" w:rsidRDefault="004C2F04" w:rsidP="00A01CB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norske mediemangfoldet trenger en kommersiell allmennkringkaster som TV 2, noe </w:t>
      </w:r>
      <w:r w:rsidR="00B70229">
        <w:rPr>
          <w:rFonts w:ascii="Calibri" w:hAnsi="Calibri" w:cs="Calibri"/>
          <w:sz w:val="22"/>
          <w:szCs w:val="22"/>
        </w:rPr>
        <w:t xml:space="preserve">meldingen også slår fast, og den peker på at det krever gode rammebetingelser: </w:t>
      </w:r>
    </w:p>
    <w:p w14:paraId="5C8DCD67" w14:textId="28CB8068" w:rsidR="00B70229" w:rsidRDefault="00B70229" w:rsidP="00B70229">
      <w:pPr>
        <w:spacing w:after="120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</w:t>
      </w:r>
      <w:r w:rsidRPr="00B70229">
        <w:rPr>
          <w:rFonts w:ascii="Calibri" w:hAnsi="Calibri" w:cs="Calibri"/>
          <w:sz w:val="22"/>
          <w:szCs w:val="22"/>
        </w:rPr>
        <w:t>Eit viktig tiltak for å syte for at det ved sida av NRK eksisterer eit kommersielt allmennkringkastingstilbod, er å sikre rammevilkår som legg til rette for ein innovativ og konkurransedyktig kommersiell mediesektor.</w:t>
      </w:r>
      <w:r>
        <w:rPr>
          <w:rFonts w:ascii="Calibri" w:hAnsi="Calibri" w:cs="Calibri"/>
          <w:sz w:val="22"/>
          <w:szCs w:val="22"/>
        </w:rPr>
        <w:t>"</w:t>
      </w:r>
    </w:p>
    <w:p w14:paraId="13AF20F4" w14:textId="77777777" w:rsidR="00B70229" w:rsidRDefault="00B70229" w:rsidP="00A01CB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4C2F04">
        <w:rPr>
          <w:rFonts w:ascii="Calibri" w:hAnsi="Calibri" w:cs="Calibri"/>
          <w:sz w:val="22"/>
          <w:szCs w:val="22"/>
        </w:rPr>
        <w:t xml:space="preserve">ulturminister Thorhild Widvey ga klart uttrykk for </w:t>
      </w:r>
      <w:r>
        <w:rPr>
          <w:rFonts w:ascii="Calibri" w:hAnsi="Calibri" w:cs="Calibri"/>
          <w:sz w:val="22"/>
          <w:szCs w:val="22"/>
        </w:rPr>
        <w:t xml:space="preserve">det samme </w:t>
      </w:r>
      <w:r w:rsidR="004C2F04">
        <w:rPr>
          <w:rFonts w:ascii="Calibri" w:hAnsi="Calibri" w:cs="Calibri"/>
          <w:sz w:val="22"/>
          <w:szCs w:val="22"/>
        </w:rPr>
        <w:t xml:space="preserve">under pressekonferansen da meldingen ble lagt frem. </w:t>
      </w:r>
    </w:p>
    <w:p w14:paraId="34008C2B" w14:textId="0C0610DF" w:rsidR="004C2F04" w:rsidRPr="00A01CB2" w:rsidRDefault="00B70229" w:rsidP="00A01CB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kommersiell allmennkringkaster som </w:t>
      </w:r>
      <w:r w:rsidR="004C2F04">
        <w:rPr>
          <w:rFonts w:ascii="Calibri" w:hAnsi="Calibri" w:cs="Calibri"/>
          <w:sz w:val="22"/>
          <w:szCs w:val="22"/>
        </w:rPr>
        <w:t xml:space="preserve">TV 2 er viktig fordi vi trenger et fullverdig alternativ til NRK. Ikke fordi NRK gjør en dårlig jobb, men rett og slett fordi konkurranse gjør tilbudet bedre. </w:t>
      </w:r>
      <w:r w:rsidR="001A03D2">
        <w:rPr>
          <w:rFonts w:ascii="Calibri" w:hAnsi="Calibri" w:cs="Calibri"/>
          <w:sz w:val="22"/>
          <w:szCs w:val="22"/>
        </w:rPr>
        <w:t xml:space="preserve">TV 2s sterke posisjon viser at folk vil ha en sterk kommersiell allmennkringkaster. </w:t>
      </w:r>
    </w:p>
    <w:p w14:paraId="6DFC5675" w14:textId="76E38B4B" w:rsidR="00416793" w:rsidRDefault="001A03D2" w:rsidP="00A01CB2">
      <w:pPr>
        <w:pStyle w:val="Listeavsnitt"/>
        <w:spacing w:after="120"/>
        <w:ind w:left="0"/>
      </w:pPr>
      <w:r>
        <w:t>Allmennkringkasting koster. NRK får årlig tilført mer enn fem mrd. kr gjennom kringkastingsavgiften. Det er nødvendig at også en kommersiell allmennkringkaster i et lite marked som det norske får rammebetingelser som gjør det mulig å lage og opprettholde et godt allmennkringkastingstilbud</w:t>
      </w:r>
      <w:r w:rsidR="00094F57">
        <w:t>. Det er ingen tvil om at for eksempel omfattende nasjonal og internasjonal</w:t>
      </w:r>
      <w:r>
        <w:t xml:space="preserve"> nyhetsdekning</w:t>
      </w:r>
      <w:r w:rsidR="00094F57">
        <w:t xml:space="preserve"> er svært kostbart, uten at det gir nødvendig økonomisk uttelling i markedet</w:t>
      </w:r>
      <w:r>
        <w:t xml:space="preserve">. </w:t>
      </w:r>
    </w:p>
    <w:p w14:paraId="60D9BB57" w14:textId="77777777" w:rsidR="00EC04B9" w:rsidRPr="004C2F04" w:rsidRDefault="00EC04B9" w:rsidP="00EC04B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Kringkastingsavgift, eller en tilsvarende ordning, må i prinsippet være NRKs eneste finansieringskilde. </w:t>
      </w:r>
      <w:r w:rsidRPr="004C2F04">
        <w:rPr>
          <w:rFonts w:ascii="Calibri" w:hAnsi="Calibri" w:cs="Calibri"/>
          <w:sz w:val="22"/>
          <w:szCs w:val="22"/>
        </w:rPr>
        <w:t xml:space="preserve">NRK må sikres mer langsiktig og mer forutsigbar finansiering enn i dag for å kunne løse kjernen i sitt samfunnsoppdrag. </w:t>
      </w:r>
    </w:p>
    <w:p w14:paraId="1BF4E0D5" w14:textId="77777777" w:rsidR="00EC04B9" w:rsidRDefault="00EC04B9" w:rsidP="00EC04B9">
      <w:pPr>
        <w:spacing w:after="120"/>
        <w:rPr>
          <w:rFonts w:ascii="Calibri" w:hAnsi="Calibri" w:cs="Calibri"/>
          <w:sz w:val="22"/>
          <w:szCs w:val="22"/>
        </w:rPr>
      </w:pPr>
      <w:r w:rsidRPr="004C2F04">
        <w:rPr>
          <w:rFonts w:ascii="Calibri" w:hAnsi="Calibri" w:cs="Calibri"/>
          <w:sz w:val="22"/>
          <w:szCs w:val="22"/>
        </w:rPr>
        <w:t>En mer forutsigbar finansiering for NRK vil kunne avhjelpe NRKs behov for å ha høyest mulig dekning for å legitimere lisensen, og bidra til at NRK i større grad kan fokusere på innhold andre aktører i mindre grad leverer.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C621842" w14:textId="14EBA60C" w:rsidR="00EC04B9" w:rsidRPr="00A01CB2" w:rsidRDefault="00EC04B9" w:rsidP="00EC04B9">
      <w:pPr>
        <w:spacing w:after="120"/>
        <w:rPr>
          <w:rFonts w:ascii="Calibri" w:hAnsi="Calibri" w:cs="Calibri"/>
          <w:sz w:val="22"/>
          <w:szCs w:val="22"/>
        </w:rPr>
      </w:pPr>
      <w:bookmarkStart w:id="0" w:name="OLE_LINK1"/>
      <w:r>
        <w:rPr>
          <w:rFonts w:ascii="Calibri" w:hAnsi="Calibri" w:cs="Calibri"/>
          <w:sz w:val="22"/>
          <w:szCs w:val="22"/>
        </w:rPr>
        <w:t>Det er også nødvendig at kommersiell allmennkringkasting gis økonomiske rammer som muliggjør et godt tilbud i konkurranse med NRK</w:t>
      </w:r>
      <w:r w:rsidR="00EB1734">
        <w:rPr>
          <w:rFonts w:ascii="Calibri" w:hAnsi="Calibri" w:cs="Calibri"/>
          <w:sz w:val="22"/>
          <w:szCs w:val="22"/>
        </w:rPr>
        <w:t xml:space="preserve">, blant annet på nyheter og aktualitet. </w:t>
      </w:r>
    </w:p>
    <w:p w14:paraId="6FC86BFC" w14:textId="4B1B4FC4" w:rsidR="00094F57" w:rsidRDefault="00094F57" w:rsidP="00A01CB2">
      <w:pPr>
        <w:pStyle w:val="Listeavsnitt"/>
        <w:spacing w:after="120"/>
        <w:ind w:left="0"/>
      </w:pPr>
      <w:r>
        <w:t xml:space="preserve">Derfor må Kulturdepartementet gjennom en ordning om kjøp av allmennkringkastingstjenester bidra til at en kommersiell allmennkringkaster gis mulighet til å </w:t>
      </w:r>
      <w:r w:rsidR="00EB1734">
        <w:t>ivareta sitt samfunnsoppdrag</w:t>
      </w:r>
      <w:r>
        <w:t xml:space="preserve">. </w:t>
      </w:r>
    </w:p>
    <w:p w14:paraId="5F1B394E" w14:textId="156F9DBA" w:rsidR="00094F57" w:rsidRPr="00A01CB2" w:rsidRDefault="00094F57" w:rsidP="00A01CB2">
      <w:pPr>
        <w:pStyle w:val="Listeavsnitt"/>
        <w:spacing w:after="120"/>
        <w:ind w:left="0"/>
      </w:pPr>
      <w:r>
        <w:t xml:space="preserve">Et annet virkemiddel er å gi TV 2 som kommersiell allmennkringkaster samme mva-regime som NRK. Det betyr at TV 2s brukerinntekter gis samme mva-sats som NRKs kringkastingsavgift, som i 2015 er åtte prosent og er foreslått økt til ti prosent for 2016. </w:t>
      </w:r>
      <w:r w:rsidR="00EB1734">
        <w:t xml:space="preserve">TV 2 har i dag 25 prosent mva på alle sine brukerinntekter. </w:t>
      </w:r>
      <w:bookmarkStart w:id="1" w:name="_GoBack"/>
      <w:bookmarkEnd w:id="1"/>
    </w:p>
    <w:bookmarkEnd w:id="0"/>
    <w:p w14:paraId="593E42F2" w14:textId="77777777" w:rsidR="00A01CB2" w:rsidRPr="00A01CB2" w:rsidRDefault="00A01CB2" w:rsidP="00A01CB2">
      <w:pPr>
        <w:spacing w:after="120"/>
        <w:rPr>
          <w:rFonts w:ascii="Calibri" w:hAnsi="Calibri" w:cs="Calibri"/>
          <w:sz w:val="22"/>
          <w:szCs w:val="22"/>
        </w:rPr>
      </w:pPr>
    </w:p>
    <w:p w14:paraId="449B1FD8" w14:textId="77777777" w:rsidR="00A01CB2" w:rsidRPr="00A01CB2" w:rsidRDefault="00A01CB2" w:rsidP="00A01CB2">
      <w:pPr>
        <w:spacing w:after="120"/>
        <w:rPr>
          <w:rFonts w:ascii="Calibri" w:hAnsi="Calibri" w:cs="Calibri"/>
          <w:b/>
          <w:i/>
          <w:sz w:val="22"/>
          <w:szCs w:val="22"/>
        </w:rPr>
      </w:pPr>
      <w:r w:rsidRPr="00A01CB2">
        <w:rPr>
          <w:rFonts w:ascii="Calibri" w:hAnsi="Calibri" w:cs="Calibri"/>
          <w:b/>
          <w:i/>
          <w:sz w:val="22"/>
          <w:szCs w:val="22"/>
        </w:rPr>
        <w:t>Kontaktinformasjon</w:t>
      </w:r>
    </w:p>
    <w:p w14:paraId="0E218AD2" w14:textId="77777777" w:rsidR="00A01CB2" w:rsidRPr="00A01CB2" w:rsidRDefault="00A01CB2" w:rsidP="00A01CB2">
      <w:pPr>
        <w:spacing w:after="120"/>
        <w:rPr>
          <w:rFonts w:ascii="Calibri" w:hAnsi="Calibri" w:cs="Calibri"/>
          <w:sz w:val="22"/>
          <w:szCs w:val="22"/>
        </w:rPr>
      </w:pPr>
      <w:r w:rsidRPr="00A01CB2">
        <w:rPr>
          <w:rFonts w:ascii="Calibri" w:hAnsi="Calibri" w:cs="Calibri"/>
          <w:sz w:val="22"/>
          <w:szCs w:val="22"/>
        </w:rPr>
        <w:t>Randi S. Øgrey (adm. dir.) 911 85 601 randi@mediebedriftene.no</w:t>
      </w:r>
    </w:p>
    <w:p w14:paraId="47B15D42" w14:textId="5E1125B5" w:rsidR="00A01CB2" w:rsidRPr="00E35397" w:rsidRDefault="00A01CB2" w:rsidP="00E35397">
      <w:pPr>
        <w:spacing w:after="120"/>
        <w:rPr>
          <w:rFonts w:ascii="Calibri" w:hAnsi="Calibri" w:cs="Calibri"/>
          <w:sz w:val="22"/>
          <w:szCs w:val="22"/>
        </w:rPr>
      </w:pPr>
      <w:r w:rsidRPr="00A01CB2">
        <w:rPr>
          <w:rFonts w:ascii="Calibri" w:hAnsi="Calibri" w:cs="Calibri"/>
          <w:sz w:val="22"/>
          <w:szCs w:val="22"/>
        </w:rPr>
        <w:t>Bjørn Wisted (fagsjef) 911 36 213 wis@mediebedriftene.no</w:t>
      </w:r>
    </w:p>
    <w:sectPr w:rsidR="00A01CB2" w:rsidRPr="00E35397" w:rsidSect="00F14836">
      <w:footerReference w:type="even" r:id="rId17"/>
      <w:footerReference w:type="default" r:id="rId18"/>
      <w:footerReference w:type="first" r:id="rId19"/>
      <w:type w:val="continuous"/>
      <w:pgSz w:w="11907" w:h="16840" w:code="9"/>
      <w:pgMar w:top="1417" w:right="1417" w:bottom="1417" w:left="1417" w:header="709" w:footer="709" w:gutter="0"/>
      <w:paperSrc w:first="257"/>
      <w:cols w:space="708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64E57" w14:textId="77777777" w:rsidR="002A56BA" w:rsidRDefault="002A56BA">
      <w:r>
        <w:separator/>
      </w:r>
    </w:p>
  </w:endnote>
  <w:endnote w:type="continuationSeparator" w:id="0">
    <w:p w14:paraId="6C37CCB6" w14:textId="77777777" w:rsidR="002A56BA" w:rsidRDefault="002A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9EA9" w14:textId="77777777" w:rsidR="002F7CD8" w:rsidRDefault="002F7CD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28E9FE5" w14:textId="77777777" w:rsidR="002F7CD8" w:rsidRDefault="002F7CD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95A81" w14:textId="77777777" w:rsidR="002F7CD8" w:rsidRDefault="002F7CD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2</w:t>
    </w:r>
    <w:r>
      <w:rPr>
        <w:rStyle w:val="Sidetall"/>
      </w:rPr>
      <w:fldChar w:fldCharType="end"/>
    </w:r>
  </w:p>
  <w:p w14:paraId="2DD1EE0A" w14:textId="77777777" w:rsidR="002F7CD8" w:rsidRDefault="002F7CD8">
    <w:pPr>
      <w:pStyle w:val="Bunnteks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ED55" w14:textId="77777777" w:rsidR="002F7CD8" w:rsidRDefault="00EB1734">
    <w:pPr>
      <w:pStyle w:val="Bunntekst"/>
    </w:pPr>
    <w:r>
      <w:rPr>
        <w:noProof/>
      </w:rPr>
      <w:pict w14:anchorId="077ED2F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.75pt;width:540pt;height:34.35pt;z-index:251657728;mso-position-horizontal:center;mso-position-horizontal-relative:margin" o:allowincell="f" stroked="f">
          <o:lock v:ext="edit" aspectratio="t"/>
          <v:textbox style="mso-next-textbox:#_x0000_s2049" inset="0,0">
            <w:txbxContent>
              <w:p w14:paraId="17570D96" w14:textId="77777777" w:rsidR="002F7CD8" w:rsidRDefault="002F7CD8" w:rsidP="00D1562E">
                <w:pPr>
                  <w:jc w:val="center"/>
                  <w:rPr>
                    <w:rFonts w:ascii="Lucida Sans Unicode" w:hAnsi="Lucida Sans Unicode"/>
                    <w:sz w:val="14"/>
                  </w:rPr>
                </w:pPr>
                <w:r>
                  <w:rPr>
                    <w:rFonts w:ascii="Lucida Sans Unicode" w:hAnsi="Lucida Sans Unicode"/>
                    <w:b/>
                    <w:sz w:val="15"/>
                  </w:rPr>
                  <w:t>Mediebedriftenes Landsforening</w:t>
                </w:r>
                <w:r>
                  <w:rPr>
                    <w:rFonts w:ascii="Lucida Sans Unicode" w:hAnsi="Lucida Sans Unicode"/>
                    <w:sz w:val="14"/>
                  </w:rPr>
                  <w:t xml:space="preserve"> – Kongens</w:t>
                </w:r>
                <w:r w:rsidR="00A3199F">
                  <w:rPr>
                    <w:rFonts w:ascii="Lucida Sans Unicode" w:hAnsi="Lucida Sans Unicode"/>
                    <w:sz w:val="14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4"/>
                  </w:rPr>
                  <w:t>gt 14, 0153 Oslo - Telefon: 22 86 12 00 - Telefaks: 22 42 26 11/22 86 12 02</w:t>
                </w:r>
              </w:p>
              <w:p w14:paraId="01B10458" w14:textId="77777777" w:rsidR="002F7CD8" w:rsidRDefault="002F7CD8" w:rsidP="00D1562E">
                <w:pPr>
                  <w:jc w:val="center"/>
                  <w:rPr>
                    <w:rFonts w:ascii="Lucida Sans Unicode" w:hAnsi="Lucida Sans Unicode"/>
                    <w:sz w:val="14"/>
                  </w:rPr>
                </w:pPr>
                <w:r>
                  <w:rPr>
                    <w:rFonts w:ascii="Lucida Sans Unicode" w:hAnsi="Lucida Sans Unicode"/>
                    <w:sz w:val="14"/>
                  </w:rPr>
                  <w:t>post@mediebedriftene.no - Kontonr. 8200.01.24326 - Org.nr. 981 391 209 - www.mediebedriftene.no</w:t>
                </w:r>
              </w:p>
              <w:p w14:paraId="7F005711" w14:textId="77777777" w:rsidR="002F7CD8" w:rsidRDefault="002F7CD8"/>
            </w:txbxContent>
          </v:textbox>
          <w10:wrap type="topAndBottom" anchorx="margin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D551" w14:textId="77777777" w:rsidR="002F7CD8" w:rsidRDefault="002F7CD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F65647C" w14:textId="77777777" w:rsidR="002F7CD8" w:rsidRDefault="002F7CD8">
    <w:pPr>
      <w:pStyle w:val="Bunn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9D8EE" w14:textId="77777777" w:rsidR="002F7CD8" w:rsidRDefault="002F7CD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B1734">
      <w:rPr>
        <w:rStyle w:val="Sidetall"/>
        <w:noProof/>
      </w:rPr>
      <w:t>2</w:t>
    </w:r>
    <w:r>
      <w:rPr>
        <w:rStyle w:val="Sidetall"/>
      </w:rPr>
      <w:fldChar w:fldCharType="end"/>
    </w:r>
  </w:p>
  <w:p w14:paraId="1524078B" w14:textId="77777777" w:rsidR="002F7CD8" w:rsidRDefault="002F7CD8">
    <w:pPr>
      <w:pStyle w:val="Bunntekst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F89EE" w14:textId="77777777" w:rsidR="002F7CD8" w:rsidRPr="00241B67" w:rsidRDefault="002F7CD8">
    <w:pPr>
      <w:pStyle w:val="Bunntekst"/>
      <w:jc w:val="right"/>
    </w:pPr>
    <w:r>
      <w:rPr>
        <w:sz w:val="14"/>
      </w:rPr>
      <w:fldChar w:fldCharType="begin"/>
    </w:r>
    <w:r w:rsidRPr="00241B67">
      <w:rPr>
        <w:sz w:val="14"/>
      </w:rPr>
      <w:instrText xml:space="preserve"> FILENAME \p \* LOWER </w:instrText>
    </w:r>
    <w:r>
      <w:rPr>
        <w:sz w:val="14"/>
      </w:rPr>
      <w:fldChar w:fldCharType="separate"/>
    </w:r>
    <w:r w:rsidR="00EB1734">
      <w:rPr>
        <w:noProof/>
        <w:sz w:val="14"/>
      </w:rPr>
      <w:t>https://arenarom.nho.no/rom/mbl/dokumenter/rammebetingelser/allmennkringkasting/notat til høring om allmennkringkastingsmeldingen i familie- og kulturkomiteen 19.11.2015.docx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159A" w14:textId="77777777" w:rsidR="002A56BA" w:rsidRDefault="002A56BA">
      <w:r>
        <w:separator/>
      </w:r>
    </w:p>
  </w:footnote>
  <w:footnote w:type="continuationSeparator" w:id="0">
    <w:p w14:paraId="20B3062D" w14:textId="77777777" w:rsidR="002A56BA" w:rsidRDefault="002A56BA">
      <w:r>
        <w:continuationSeparator/>
      </w:r>
    </w:p>
  </w:footnote>
  <w:footnote w:id="1">
    <w:p w14:paraId="232ED853" w14:textId="522D6A97" w:rsidR="007F70EB" w:rsidRDefault="007F70EB" w:rsidP="007F70EB">
      <w:pPr>
        <w:pStyle w:val="Fotnotetekst"/>
      </w:pPr>
      <w:r>
        <w:rPr>
          <w:rStyle w:val="Fotnotereferanse"/>
        </w:rPr>
        <w:footnoteRef/>
      </w:r>
      <w:r>
        <w:t xml:space="preserve"> SNF-rapport 02/15: Konkurransemessige virkninger av noen utvalgte NRK-tjenester. Side 106.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7EBE" w14:textId="77777777" w:rsidR="002F7CD8" w:rsidRDefault="00EB1734">
    <w:pPr>
      <w:pStyle w:val="Topptekst"/>
    </w:pPr>
    <w:r>
      <w:pict w14:anchorId="52364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2.7pt;height:18.45pt">
          <v:imagedata r:id="rId1" o:title="MBL_ko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27A"/>
    <w:rsid w:val="00094F57"/>
    <w:rsid w:val="0011230B"/>
    <w:rsid w:val="001A03D2"/>
    <w:rsid w:val="001A1EE1"/>
    <w:rsid w:val="00241B67"/>
    <w:rsid w:val="00276DC8"/>
    <w:rsid w:val="002A56BA"/>
    <w:rsid w:val="002E4281"/>
    <w:rsid w:val="002F7CD8"/>
    <w:rsid w:val="003163D5"/>
    <w:rsid w:val="00404DF1"/>
    <w:rsid w:val="00416793"/>
    <w:rsid w:val="004A7378"/>
    <w:rsid w:val="004C2F04"/>
    <w:rsid w:val="0052594D"/>
    <w:rsid w:val="005A2563"/>
    <w:rsid w:val="005C5A85"/>
    <w:rsid w:val="0064427A"/>
    <w:rsid w:val="006E4941"/>
    <w:rsid w:val="006E6905"/>
    <w:rsid w:val="007534B6"/>
    <w:rsid w:val="007E447B"/>
    <w:rsid w:val="007F70EB"/>
    <w:rsid w:val="008D0BB7"/>
    <w:rsid w:val="00957432"/>
    <w:rsid w:val="00973BAB"/>
    <w:rsid w:val="009B53F3"/>
    <w:rsid w:val="009F2B8C"/>
    <w:rsid w:val="00A01CB2"/>
    <w:rsid w:val="00A3199F"/>
    <w:rsid w:val="00A8730D"/>
    <w:rsid w:val="00B70229"/>
    <w:rsid w:val="00BA4E7D"/>
    <w:rsid w:val="00BC07F6"/>
    <w:rsid w:val="00BD02DD"/>
    <w:rsid w:val="00BD54BC"/>
    <w:rsid w:val="00C107D8"/>
    <w:rsid w:val="00C3211F"/>
    <w:rsid w:val="00C531B8"/>
    <w:rsid w:val="00D1562E"/>
    <w:rsid w:val="00D2553A"/>
    <w:rsid w:val="00D70DD9"/>
    <w:rsid w:val="00D7759F"/>
    <w:rsid w:val="00D91B90"/>
    <w:rsid w:val="00DD7278"/>
    <w:rsid w:val="00DF38C3"/>
    <w:rsid w:val="00E35397"/>
    <w:rsid w:val="00E50849"/>
    <w:rsid w:val="00E92E04"/>
    <w:rsid w:val="00EB1734"/>
    <w:rsid w:val="00EC04B9"/>
    <w:rsid w:val="00ED7B32"/>
    <w:rsid w:val="00EF6482"/>
    <w:rsid w:val="00F14836"/>
    <w:rsid w:val="00FC2BFB"/>
    <w:rsid w:val="00FD6EA4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757585B"/>
  <w15:chartTrackingRefBased/>
  <w15:docId w15:val="{8AAA5626-C144-4657-9063-8EFD7986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Reffelt">
    <w:name w:val="Reffelt"/>
    <w:basedOn w:val="Normal"/>
    <w:next w:val="Normal"/>
    <w:pPr>
      <w:tabs>
        <w:tab w:val="left" w:pos="4218"/>
        <w:tab w:val="right" w:pos="9639"/>
      </w:tabs>
    </w:pPr>
    <w:rPr>
      <w:rFonts w:ascii="Helvetica-Narrow" w:hAnsi="Helvetica-Narrow"/>
      <w:sz w:val="1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AL">
    <w:name w:val="NAL"/>
    <w:basedOn w:val="Normal"/>
    <w:next w:val="Normal"/>
    <w:pPr>
      <w:spacing w:after="120"/>
      <w:jc w:val="center"/>
    </w:pPr>
    <w:rPr>
      <w:rFonts w:ascii="Arial" w:hAnsi="Arial"/>
      <w:b/>
      <w:sz w:val="20"/>
    </w:rPr>
  </w:style>
  <w:style w:type="paragraph" w:customStyle="1" w:styleId="NAL-adresse">
    <w:name w:val="NAL-adresse"/>
    <w:basedOn w:val="NAL"/>
    <w:next w:val="Normal"/>
    <w:rPr>
      <w:b w:val="0"/>
      <w:sz w:val="16"/>
    </w:r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41679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1B6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241B67"/>
    <w:rPr>
      <w:rFonts w:ascii="Segoe UI" w:hAnsi="Segoe UI" w:cs="Segoe UI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F70EB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F70EB"/>
  </w:style>
  <w:style w:type="character" w:styleId="Fotnotereferanse">
    <w:name w:val="footnote reference"/>
    <w:uiPriority w:val="99"/>
    <w:semiHidden/>
    <w:unhideWhenUsed/>
    <w:rsid w:val="007F7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BL - Brevmal" ma:contentTypeID="0x0101002703D2AF657F4CC69F3B5766777647D766007CBFCB697B7C69468A8FE91E1DE50E7F" ma:contentTypeVersion="113" ma:contentTypeDescription="Opprett et nytt dokument." ma:contentTypeScope="" ma:versionID="388f0915bb6087c8bcd9871b4a1f83d7">
  <xsd:schema xmlns:xsd="http://www.w3.org/2001/XMLSchema" xmlns:xs="http://www.w3.org/2001/XMLSchema" xmlns:p="http://schemas.microsoft.com/office/2006/metadata/properties" xmlns:ns2="1fcd92dd-7d74-4918-8c11-98baf3d8368d" targetNamespace="http://schemas.microsoft.com/office/2006/metadata/properties" ma:root="true" ma:fieldsID="4d88a617a5d674b832f9e76a419c7cdc" ns2:_="">
    <xsd:import namespace="1fcd92dd-7d74-4918-8c11-98baf3d8368d"/>
    <xsd:element name="properties">
      <xsd:complexType>
        <xsd:sequence>
          <xsd:element name="documentManagement">
            <xsd:complexType>
              <xsd:all>
                <xsd:element ref="ns2:NHO_DocumentStatus"/>
                <xsd:element ref="ns2:NHO_DocumentProperty"/>
                <xsd:element ref="ns2:NHO_DocumentDate" minOccurs="0"/>
                <xsd:element ref="ns2:NHO_DocumentArchiveDate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c33924c3673147c88830f2707c1978bc" minOccurs="0"/>
                <xsd:element ref="ns2:p8a47c7619634ae9930087b62d76e394" minOccurs="0"/>
                <xsd:element ref="ns2:_dlc_Doc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92dd-7d74-4918-8c11-98baf3d8368d" elementFormDefault="qualified">
    <xsd:import namespace="http://schemas.microsoft.com/office/2006/documentManagement/types"/>
    <xsd:import namespace="http://schemas.microsoft.com/office/infopath/2007/PartnerControls"/>
    <xsd:element name="NHO_DocumentStatus" ma:index="2" ma:displayName="Status" ma:default="Under behandling" ma:description="Status" ma:format="Dropdown" ma:internalName="NHO_DocumentStatus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3" ma:displayName="Inn/ut/internt" ma:default="Internt" ma:description="Inn/ut/internt" ma:format="Dropdown" ma:internalName="NHO_DocumentProperty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4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NHO_DocumentArchiveDate" ma:index="5" nillable="true" ma:displayName="Arkivdato" ma:format="DateTime" ma:hidden="true" ma:internalName="NHO_DocumentArchiveDate">
      <xsd:simpleType>
        <xsd:restriction base="dms:DateTime"/>
      </xsd:simpleType>
    </xsd:element>
    <xsd:element name="ARENA_DocumentReference" ma:index="9" nillable="true" ma:displayName="Deres referanse" ma:description="Deres referanse" ma:internalName="ARENA_DocumentReference">
      <xsd:simpleType>
        <xsd:restriction base="dms:Text"/>
      </xsd:simpleType>
    </xsd:element>
    <xsd:element name="ARENA_DocumentRecipient" ma:index="10" nillable="true" ma:displayName="Mottaker" ma:description="Mottaker" ma:internalName="ARENA_DocumentRecipient">
      <xsd:simpleType>
        <xsd:restriction base="dms:Text"/>
      </xsd:simpleType>
    </xsd:element>
    <xsd:element name="ARENA_DocumentSender" ma:index="11" nillable="true" ma:displayName="Avsender" ma:description="Avsender" ma:internalName="ARENA_DocumentSender">
      <xsd:simpleType>
        <xsd:restriction base="dms:Text"/>
      </xsd:simpleType>
    </xsd:element>
    <xsd:element name="_dlc_DocIdUrl" ma:index="12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aa4cd1ed-27a5-4a02-b49a-9ce2141a4d7e}" ma:internalName="TaxCatchAll" ma:showField="CatchAllData" ma:web="5a85ae50-92f0-4505-b4e0-b347f997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a4cd1ed-27a5-4a02-b49a-9ce2141a4d7e}" ma:internalName="TaxCatchAllLabel" ma:readOnly="true" ma:showField="CatchAllDataLabel" ma:web="5a85ae50-92f0-4505-b4e0-b347f997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3924c3673147c88830f2707c1978bc" ma:index="17" nillable="true" ma:taxonomy="true" ma:internalName="c33924c3673147c88830f2707c1978bc" ma:taxonomyFieldName="NhoMmdCaseWorker" ma:displayName="Saksbehandler" ma:default="" ma:fieldId="{c33924c3-6731-47c8-8830-f2707c1978bc}" ma:sspId="23ae1762-dfb7-4954-b585-25db1d1094a4" ma:termSetId="bbd35930-3809-4f28-8ebd-605c94742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9" nillable="true" ma:taxonomy="true" ma:internalName="p8a47c7619634ae9930087b62d76e394" ma:taxonomyFieldName="NHO_OrganisationUnit" ma:displayName="Organisasjonsenhet" ma:fieldId="{98a47c76-1963-4ae9-9300-87b62d76e394}" ma:sspId="23ae1762-dfb7-4954-b585-25db1d1094a4" ma:termSetId="110110fd-e430-4d4e-8550-74127a1a53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TaxKeywordTaxHTField" ma:index="24" nillable="true" ma:taxonomy="true" ma:internalName="TaxKeywordTaxHTField" ma:taxonomyFieldName="TaxKeyword" ma:displayName="Organisasjonsnøkkelord" ma:fieldId="{23f27201-bee3-471e-b2e7-b64fd8b7ca38}" ma:taxonomyMulti="true" ma:sspId="23ae1762-dfb7-4954-b585-25db1d1094a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d9e53e-6585-4f50-95a9-cc115a295e47" ContentTypeId="0x0101002703D2AF657F4CC69F3B5766777647D766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Status xmlns="1fcd92dd-7d74-4918-8c11-98baf3d8368d">Under behandling</NHO_DocumentStatus>
    <c33924c3673147c88830f2707c1978bc xmlns="1fcd92dd-7d74-4918-8c11-98baf3d8368d">
      <Terms xmlns="http://schemas.microsoft.com/office/infopath/2007/PartnerControls"/>
    </c33924c3673147c88830f2707c1978bc>
    <TaxKeywordTaxHTField xmlns="1fcd92dd-7d74-4918-8c11-98baf3d8368d">
      <Terms xmlns="http://schemas.microsoft.com/office/infopath/2007/PartnerControls"/>
    </TaxKeywordTaxHTField>
    <ARENA_DocumentReference xmlns="1fcd92dd-7d74-4918-8c11-98baf3d8368d" xsi:nil="true"/>
    <ARENA_DocumentRecipient xmlns="1fcd92dd-7d74-4918-8c11-98baf3d8368d" xsi:nil="true"/>
    <NHO_DocumentDate xmlns="1fcd92dd-7d74-4918-8c11-98baf3d8368d" xsi:nil="true"/>
    <NHO_DocumentArchiveDate xmlns="1fcd92dd-7d74-4918-8c11-98baf3d8368d" xsi:nil="true"/>
    <TaxCatchAll xmlns="1fcd92dd-7d74-4918-8c11-98baf3d8368d"/>
    <ARENA_DocumentSender xmlns="1fcd92dd-7d74-4918-8c11-98baf3d8368d" xsi:nil="true"/>
    <p8a47c7619634ae9930087b62d76e394 xmlns="1fcd92dd-7d74-4918-8c11-98baf3d8368d">
      <Terms xmlns="http://schemas.microsoft.com/office/infopath/2007/PartnerControls"/>
    </p8a47c7619634ae9930087b62d76e394>
    <NHO_DocumentProperty xmlns="1fcd92dd-7d74-4918-8c11-98baf3d8368d">Internt</NHO_DocumentProperty>
    <_dlc_DocId xmlns="1fcd92dd-7d74-4918-8c11-98baf3d8368d">ARENA-502-13172</_dlc_DocId>
    <_dlc_DocIdUrl xmlns="1fcd92dd-7d74-4918-8c11-98baf3d8368d">
      <Url>https://arenarom.nho.no/rom/mbl/_layouts/DocIdRedir.aspx?ID=ARENA-502-13172</Url>
      <Description>ARENA-502-13172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8D9B-961A-4C3D-9BC5-19ECE801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d92dd-7d74-4918-8c11-98baf3d83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171E4-6207-4AF7-9886-FF782943784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707F284-8FAE-4D55-8B1C-933800B01F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25F89B-F87E-4494-97D8-162AB7A180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E223C9-6213-473E-8E3C-0F9AA14A7DD1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1fcd92dd-7d74-4918-8c11-98baf3d8368d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C89336E5-DC3E-466D-977F-AD775243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1035</Words>
  <Characters>5489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Norsk brevark (Utredningsinstituttet)</vt:lpstr>
    </vt:vector>
  </TitlesOfParts>
  <Company>Norske Avisers Landsforening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Norsk brevark (Utredningsinstituttet)</dc:title>
  <dc:subject/>
  <dc:creator>Bjørn Wisted</dc:creator>
  <cp:keywords/>
  <cp:lastModifiedBy>Bjørn Wisted</cp:lastModifiedBy>
  <cp:revision>11</cp:revision>
  <cp:lastPrinted>2015-11-19T09:02:00Z</cp:lastPrinted>
  <dcterms:created xsi:type="dcterms:W3CDTF">2015-11-10T13:09:00Z</dcterms:created>
  <dcterms:modified xsi:type="dcterms:W3CDTF">2015-11-19T10:18:00Z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0x0101002703D2AF657F4CC69F3B5766777647D766007CBFCB697B7C69468A8FE91E1DE50E7F</vt:lpwstr>
  </property>
  <property fmtid="{D5CDD505-2E9C-101B-9397-08002B2CF9AE}" pid="3" name="TaxKeyword">
    <vt:lpwstr/>
  </property>
  <property fmtid="{D5CDD505-2E9C-101B-9397-08002B2CF9AE}" pid="4" name="NhoMmdCaseWorker">
    <vt:lpwstr>3084;#Bjørn Wisted|5f21cab3-e909-4ae3-bc7d-5f2a0c92452b</vt:lpwstr>
  </property>
  <property fmtid="{D5CDD505-2E9C-101B-9397-08002B2CF9AE}" pid="5" name="NHO_OrganisationUnit">
    <vt:lpwstr>1650;#MBL|63639b96-827a-4c23-ad8e-274fa6706f85</vt:lpwstr>
  </property>
  <property fmtid="{D5CDD505-2E9C-101B-9397-08002B2CF9AE}" pid="6" name="_dlc_DocIdItemGuid">
    <vt:lpwstr>a92d6935-ff01-47d5-8907-2cc1d938886a</vt:lpwstr>
  </property>
</Properties>
</file>