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B1B" w:rsidRPr="001D7B1B" w:rsidRDefault="001D7B1B">
      <w:pPr>
        <w:rPr>
          <w:sz w:val="32"/>
          <w:szCs w:val="32"/>
        </w:rPr>
      </w:pPr>
      <w:r w:rsidRPr="001D7B1B">
        <w:rPr>
          <w:sz w:val="32"/>
          <w:szCs w:val="32"/>
        </w:rPr>
        <w:t>Norsk Redaktørforening</w:t>
      </w:r>
    </w:p>
    <w:p w:rsidR="001D7B1B" w:rsidRDefault="001D7B1B">
      <w:r>
        <w:t>Styremøte 201</w:t>
      </w:r>
      <w:r w:rsidR="00F355CD">
        <w:t>2</w:t>
      </w:r>
      <w:r>
        <w:t>-</w:t>
      </w:r>
      <w:r w:rsidR="003854D8">
        <w:t>09</w:t>
      </w:r>
      <w:r>
        <w:t>-</w:t>
      </w:r>
      <w:r w:rsidR="003854D8">
        <w:t>21 Palma</w:t>
      </w:r>
    </w:p>
    <w:p w:rsidR="001D7B1B" w:rsidRDefault="001D7B1B">
      <w:r>
        <w:t>NEØ</w:t>
      </w:r>
      <w:r w:rsidR="00F355CD">
        <w:t>/AJ</w:t>
      </w:r>
    </w:p>
    <w:p w:rsidR="001D7B1B" w:rsidRDefault="001D7B1B"/>
    <w:p w:rsidR="001D7B1B" w:rsidRDefault="001D7B1B"/>
    <w:p w:rsidR="001D7B1B" w:rsidRPr="00F355CD" w:rsidRDefault="001D7B1B">
      <w:pPr>
        <w:rPr>
          <w:b/>
          <w:sz w:val="28"/>
          <w:szCs w:val="28"/>
        </w:rPr>
      </w:pPr>
      <w:r w:rsidRPr="00F355CD">
        <w:rPr>
          <w:b/>
          <w:sz w:val="28"/>
          <w:szCs w:val="28"/>
        </w:rPr>
        <w:t>Sak 201</w:t>
      </w:r>
      <w:r w:rsidR="00E54D36">
        <w:rPr>
          <w:b/>
          <w:sz w:val="28"/>
          <w:szCs w:val="28"/>
        </w:rPr>
        <w:t>2</w:t>
      </w:r>
      <w:r w:rsidRPr="00F355CD">
        <w:rPr>
          <w:b/>
          <w:sz w:val="28"/>
          <w:szCs w:val="28"/>
        </w:rPr>
        <w:t>-</w:t>
      </w:r>
      <w:r w:rsidR="003854D8">
        <w:rPr>
          <w:b/>
          <w:sz w:val="28"/>
          <w:szCs w:val="28"/>
        </w:rPr>
        <w:t>3</w:t>
      </w:r>
      <w:r w:rsidR="00B74A80">
        <w:rPr>
          <w:b/>
          <w:sz w:val="28"/>
          <w:szCs w:val="28"/>
        </w:rPr>
        <w:t>4</w:t>
      </w:r>
      <w:r w:rsidRPr="00F355CD">
        <w:rPr>
          <w:b/>
          <w:sz w:val="28"/>
          <w:szCs w:val="28"/>
        </w:rPr>
        <w:t xml:space="preserve"> – Regnskapsrapport per 3</w:t>
      </w:r>
      <w:r w:rsidR="003854D8">
        <w:rPr>
          <w:b/>
          <w:sz w:val="28"/>
          <w:szCs w:val="28"/>
        </w:rPr>
        <w:t>1</w:t>
      </w:r>
      <w:r w:rsidRPr="00F355CD">
        <w:rPr>
          <w:b/>
          <w:sz w:val="28"/>
          <w:szCs w:val="28"/>
        </w:rPr>
        <w:t xml:space="preserve">. </w:t>
      </w:r>
      <w:r w:rsidR="003854D8">
        <w:rPr>
          <w:b/>
          <w:sz w:val="28"/>
          <w:szCs w:val="28"/>
        </w:rPr>
        <w:t>august</w:t>
      </w:r>
      <w:r w:rsidRPr="00F355CD">
        <w:rPr>
          <w:b/>
          <w:sz w:val="28"/>
          <w:szCs w:val="28"/>
        </w:rPr>
        <w:t xml:space="preserve"> 201</w:t>
      </w:r>
      <w:r w:rsidR="00F355CD" w:rsidRPr="00F355CD">
        <w:rPr>
          <w:b/>
          <w:sz w:val="28"/>
          <w:szCs w:val="28"/>
        </w:rPr>
        <w:t>2</w:t>
      </w:r>
    </w:p>
    <w:p w:rsidR="001D7B1B" w:rsidRDefault="001D7B1B"/>
    <w:p w:rsidR="002B449F" w:rsidRDefault="002B449F"/>
    <w:p w:rsidR="00FC21E9" w:rsidRDefault="001D7B1B" w:rsidP="00F355CD">
      <w:r>
        <w:t>Vedlagt følger oppstilling for driftsregnskap og balanse per 3</w:t>
      </w:r>
      <w:r w:rsidR="003854D8">
        <w:t>1</w:t>
      </w:r>
      <w:r>
        <w:t xml:space="preserve">. </w:t>
      </w:r>
      <w:r w:rsidR="003854D8">
        <w:t>august</w:t>
      </w:r>
      <w:r w:rsidR="00F355CD">
        <w:t>.</w:t>
      </w:r>
      <w:r>
        <w:t xml:space="preserve"> </w:t>
      </w:r>
      <w:r w:rsidR="00F355CD">
        <w:t>Grunnet periodisering av så vel inntekter som utgifter, samt enkelte andre særlige forhold, nødvendiggjør enkelte av postene nærmere forklaringer. I det følgende går vi gjennom regnskapsrapporten post for post.</w:t>
      </w:r>
    </w:p>
    <w:p w:rsidR="00FC21E9" w:rsidRDefault="00FC21E9"/>
    <w:p w:rsidR="00FC21E9" w:rsidRPr="00835078" w:rsidRDefault="00FC21E9">
      <w:pPr>
        <w:rPr>
          <w:b/>
        </w:rPr>
      </w:pPr>
      <w:r w:rsidRPr="00835078">
        <w:rPr>
          <w:b/>
        </w:rPr>
        <w:t>Inntekter</w:t>
      </w:r>
    </w:p>
    <w:p w:rsidR="00F355CD" w:rsidRDefault="00F355CD">
      <w:r>
        <w:t xml:space="preserve">Inntektsført </w:t>
      </w:r>
      <w:r w:rsidR="00835078" w:rsidRPr="00A24DC6">
        <w:rPr>
          <w:u w:val="single"/>
        </w:rPr>
        <w:t>NR-k</w:t>
      </w:r>
      <w:r w:rsidR="00FC21E9" w:rsidRPr="00A24DC6">
        <w:rPr>
          <w:u w:val="single"/>
        </w:rPr>
        <w:t>ontingent</w:t>
      </w:r>
      <w:r>
        <w:t xml:space="preserve"> ved ut</w:t>
      </w:r>
      <w:r w:rsidR="00845F7B">
        <w:t xml:space="preserve">løpet av </w:t>
      </w:r>
      <w:r>
        <w:t>april</w:t>
      </w:r>
      <w:r w:rsidR="00845F7B">
        <w:t xml:space="preserve"> tilsvarer 7</w:t>
      </w:r>
      <w:r>
        <w:t>71</w:t>
      </w:r>
      <w:r w:rsidR="00845F7B">
        <w:t xml:space="preserve"> årskontingenter</w:t>
      </w:r>
      <w:r>
        <w:t>, hvilket er betydelig høyere enn budsjettet, som opererer med 733 årskontingenter a kr 9.500.</w:t>
      </w:r>
      <w:r w:rsidR="00845F7B">
        <w:t xml:space="preserve"> </w:t>
      </w:r>
      <w:r>
        <w:t>Sekretariatet er litt i tvil om tallet er reelt, men vil gå nøyere gjennom dette.</w:t>
      </w:r>
    </w:p>
    <w:p w:rsidR="00F355CD" w:rsidRDefault="00F355CD"/>
    <w:p w:rsidR="00F355CD" w:rsidRDefault="00F355CD">
      <w:r>
        <w:t xml:space="preserve">De to neste inntektspostene er forutsigbare og stabile. Selv om </w:t>
      </w:r>
      <w:r w:rsidRPr="00F355CD">
        <w:rPr>
          <w:u w:val="single"/>
        </w:rPr>
        <w:t>«Adm. Vederlag»,</w:t>
      </w:r>
      <w:r>
        <w:t xml:space="preserve"> som er vederlaget NR får for administrasjon av de kollektive vederlagsmidler som innkreves av Kopinor og Norwaco, viser en betydelig mindreinntekt, så er det per i dag ingen grunn til å tro at budsjettmålet ikke skal nås på denne posten. Det samme gjelder posten </w:t>
      </w:r>
      <w:r w:rsidRPr="00F355CD">
        <w:rPr>
          <w:u w:val="single"/>
        </w:rPr>
        <w:t>«Refusjon OR»,</w:t>
      </w:r>
      <w:r>
        <w:t xml:space="preserve"> som er Oslo Redaktørforenings avtalte betaling for sekretariatstjenester fra NR-sekretariatet. Når denne posten viser null i inntekt, så er det rett og slett fordi vi er litt forsinket med innkrevingen fra OR.</w:t>
      </w:r>
    </w:p>
    <w:p w:rsidR="00F355CD" w:rsidRDefault="00F355CD"/>
    <w:p w:rsidR="00F355CD" w:rsidRPr="00EC26E4" w:rsidRDefault="00EC26E4" w:rsidP="00F355CD">
      <w:r>
        <w:t>På p</w:t>
      </w:r>
      <w:r w:rsidR="00F355CD">
        <w:t xml:space="preserve">osten </w:t>
      </w:r>
      <w:r w:rsidR="00F355CD" w:rsidRPr="00F355CD">
        <w:rPr>
          <w:u w:val="single"/>
        </w:rPr>
        <w:t>Prosjektmidler/PFF</w:t>
      </w:r>
      <w:r w:rsidR="00F355CD">
        <w:t xml:space="preserve"> </w:t>
      </w:r>
      <w:r>
        <w:t>har vi nå fått inn 1.450.000 av d</w:t>
      </w:r>
      <w:r w:rsidR="00F355CD">
        <w:t>et totale budsjettmålet på 1.870.000 kroner</w:t>
      </w:r>
      <w:r>
        <w:t>.</w:t>
      </w:r>
      <w:r w:rsidR="00F355CD">
        <w:t xml:space="preserve"> </w:t>
      </w:r>
      <w:r>
        <w:t xml:space="preserve">Inntektene så langt inkluderer </w:t>
      </w:r>
      <w:r w:rsidR="00A45E5A">
        <w:t xml:space="preserve">blant annet </w:t>
      </w:r>
      <w:r>
        <w:t>all «ekstern» finansiering av Mediearkivet beregnet inn i 2012 (totalt 600.000 kroner), samt to tredeler av bidraget fra NRs vederlagsfond til etikkarbeidet i NP (600.000 av totalt 900.000). Målt mot årsbudsjettet skal det altså ytterligere 420.000 kroner inn på denne kontoen. 300.000 av disse vil komme fra NRs vederlagsfond. De resterende 120.000 er midler som er innvilget, men ikke utbetalt fra NRs vederlagsfond. 70.000 av disse gjelder NR Kompetanse. De resterende 50.000 gjelder den arbeidsmiljøundersøkelsen som vi sa nei til å være med på. Vi har samtidig gjennomført en undersøkelse om trusler (koordinert med NJs arbeidsmiljøundersøkelse), og beløpet på rundt 15.000 kroner vil kunne dekkes av disse midlene. Dersom de resterende 35.000 kronene skal utløses, så må det nok søkes om omdisponering.</w:t>
      </w:r>
    </w:p>
    <w:p w:rsidR="00EC26E4" w:rsidRPr="00F355CD" w:rsidRDefault="00EC26E4" w:rsidP="00F355CD"/>
    <w:p w:rsidR="00835078" w:rsidRDefault="00A24DC6">
      <w:r>
        <w:t xml:space="preserve">Posten </w:t>
      </w:r>
      <w:r>
        <w:rPr>
          <w:u w:val="single"/>
        </w:rPr>
        <w:t>m</w:t>
      </w:r>
      <w:r w:rsidR="00835078" w:rsidRPr="00A24DC6">
        <w:rPr>
          <w:u w:val="single"/>
        </w:rPr>
        <w:t>øteinntekte</w:t>
      </w:r>
      <w:r w:rsidRPr="00A24DC6">
        <w:rPr>
          <w:u w:val="single"/>
        </w:rPr>
        <w:t>r</w:t>
      </w:r>
      <w:r>
        <w:t xml:space="preserve"> </w:t>
      </w:r>
      <w:r w:rsidR="00835078" w:rsidRPr="00A24DC6">
        <w:t>gjelder</w:t>
      </w:r>
      <w:r w:rsidR="00835078">
        <w:t xml:space="preserve"> våre to ”stormøter”; vårmøtet og høstmøtet,</w:t>
      </w:r>
      <w:r w:rsidR="009C0765">
        <w:t xml:space="preserve"> samt kompetansekursene. Prinsippet for disse arrangementene er at de skal gå «i null», slik at inntektspostene alltid må sees opp mot utgiftspostene knyttet til de samme arrangementene. Så langt er det ingenting som tyder på at ikke målet om omtrentlig sammenfall mellom inntekter og utgifter skal nås. Oppslutningen om NR Kompetanse-kursene har i sum vært som forventet, selv om </w:t>
      </w:r>
      <w:r w:rsidR="00EC26E4">
        <w:t>vi så langt ikke</w:t>
      </w:r>
      <w:r w:rsidR="009C0765">
        <w:t xml:space="preserve"> har fakturert deltakerne.</w:t>
      </w:r>
      <w:r w:rsidR="00EC26E4">
        <w:t xml:space="preserve"> Inntektene fra NR Kompetanse vil samlet for året trolig komme opp i rundt 120.000. </w:t>
      </w:r>
      <w:r w:rsidR="009C0765">
        <w:t>Inntektene fra vårmøtet</w:t>
      </w:r>
      <w:r>
        <w:t xml:space="preserve"> er på brutto kr 51</w:t>
      </w:r>
      <w:r w:rsidR="00EC26E4">
        <w:t>3</w:t>
      </w:r>
      <w:r>
        <w:t xml:space="preserve">.000. </w:t>
      </w:r>
      <w:r w:rsidR="006C217D">
        <w:t>Rundt 33</w:t>
      </w:r>
      <w:r>
        <w:t>0.000</w:t>
      </w:r>
      <w:r w:rsidR="006C217D">
        <w:t xml:space="preserve"> kroner</w:t>
      </w:r>
      <w:r>
        <w:t xml:space="preserve"> av dette er imidlertid ren viderefaktu</w:t>
      </w:r>
      <w:r w:rsidR="00EC26E4">
        <w:t>rering for Nordiske Mediedager. Møtet går i balanse.</w:t>
      </w:r>
    </w:p>
    <w:p w:rsidR="002B449F" w:rsidRDefault="002B449F"/>
    <w:p w:rsidR="00851F84" w:rsidRPr="00851F84" w:rsidRDefault="00851F84">
      <w:pPr>
        <w:rPr>
          <w:b/>
        </w:rPr>
      </w:pPr>
      <w:r w:rsidRPr="00851F84">
        <w:rPr>
          <w:b/>
        </w:rPr>
        <w:t>Utgifter</w:t>
      </w:r>
    </w:p>
    <w:p w:rsidR="00851F84" w:rsidRDefault="00851F84">
      <w:r>
        <w:t xml:space="preserve">Utgiftene er fordelt på tre kapitler; </w:t>
      </w:r>
      <w:r w:rsidR="00A24DC6">
        <w:t xml:space="preserve">møte- og </w:t>
      </w:r>
      <w:r>
        <w:t>prosjektkostnader, personalkostnader og driftskostnader.</w:t>
      </w:r>
    </w:p>
    <w:p w:rsidR="00851F84" w:rsidRDefault="00851F84"/>
    <w:p w:rsidR="00A24DC6" w:rsidRDefault="00851F84">
      <w:r w:rsidRPr="00DF4533">
        <w:rPr>
          <w:u w:val="single"/>
        </w:rPr>
        <w:lastRenderedPageBreak/>
        <w:t xml:space="preserve">Prosjektkostnadene </w:t>
      </w:r>
      <w:r w:rsidR="00EC26E4">
        <w:t xml:space="preserve"> ligger ca 100.000 over budsjett. Det skyldes primært at vi har valgt å utbetale regionkontingentene i en sum, og ikke periodisere disse. Dette vil altså jevne seg ut i neste regnskapsperiode. I tillegg har vi allerede ved annet tertial i praksis brukt opp posten for «Tiltak i handlingsplanen». På den annen side «mangler» det en utbetaling til Nordiske Mediedager på rundt kr 3</w:t>
      </w:r>
      <w:r w:rsidR="006C217D">
        <w:t>3</w:t>
      </w:r>
      <w:r w:rsidR="00EC26E4">
        <w:t>0.000.</w:t>
      </w:r>
    </w:p>
    <w:p w:rsidR="00EC26E4" w:rsidRDefault="00EC26E4"/>
    <w:p w:rsidR="00A24DC6" w:rsidRDefault="00A24DC6">
      <w:r>
        <w:t>For øvrig tar vi møte- og prosjektkostnadene post for post:</w:t>
      </w:r>
    </w:p>
    <w:p w:rsidR="00A24DC6" w:rsidRDefault="00A24DC6"/>
    <w:p w:rsidR="00A24DC6" w:rsidRDefault="00A24DC6">
      <w:r>
        <w:rPr>
          <w:u w:val="single"/>
        </w:rPr>
        <w:t>Pensjonistkontingenter</w:t>
      </w:r>
      <w:r w:rsidR="00861F5B">
        <w:t xml:space="preserve"> utgjør kr 300 kroner per pensjonistmedlem og utbetales samlet til Seniorforeningene, normalt mot slutten av året.</w:t>
      </w:r>
    </w:p>
    <w:p w:rsidR="00861F5B" w:rsidRDefault="00861F5B"/>
    <w:p w:rsidR="00861F5B" w:rsidRDefault="00861F5B">
      <w:r>
        <w:rPr>
          <w:u w:val="single"/>
        </w:rPr>
        <w:t>NJ felleskasser</w:t>
      </w:r>
      <w:r>
        <w:t xml:space="preserve"> gjelder innbetalinger til Arbeidsledighetskassen og Gravferdskassen, som NJ eier og drifter sammen med NJ. De siste årene har det ikke vært overført midler til Arbeidsledighets-kassen, fordi kassen har hatt betydelige midler «på bok». Styrene i NJ og NR har vedtatt at det heller ikke i år skal overføres midler. Budsjettposten på kr 16.000 gjelder overføring av midlertid til Gravferdskassen – tilsvarende kr 20 per medlem.</w:t>
      </w:r>
      <w:r w:rsidR="00EC26E4">
        <w:t xml:space="preserve"> Denne utbetales mot slutten av året.</w:t>
      </w:r>
    </w:p>
    <w:p w:rsidR="00861F5B" w:rsidRDefault="00861F5B"/>
    <w:p w:rsidR="00A24DC6" w:rsidRDefault="00861F5B">
      <w:r>
        <w:rPr>
          <w:u w:val="single"/>
        </w:rPr>
        <w:t>Tiltak i handlingsplanen</w:t>
      </w:r>
      <w:r>
        <w:t xml:space="preserve"> </w:t>
      </w:r>
      <w:r w:rsidR="00C121EA">
        <w:t xml:space="preserve">har fått inkludert i seg en regning på kr 127.500 fra adv.firmaet Schjødt, en regning som egentlig hører hjemme under posten «Prosjekter og utredninger». Samtidig er er det et par fakturaer knyttet til digitalisering av Redaktørhåndboken og utvikling av hjemmesidene og redaksjonslederbasen som er ført på posten for kontorkostnader. De utgiftene som reelt hører hjemme her er </w:t>
      </w:r>
      <w:r>
        <w:t>ca kr 50.000 er knyttet til Jens Barlands arbeid for tekstreklameutvalget</w:t>
      </w:r>
      <w:r w:rsidR="00C121EA">
        <w:t xml:space="preserve">, samt </w:t>
      </w:r>
      <w:r>
        <w:t>de eksterne utgiftene til Nasjonal redaksjonell årsrapport</w:t>
      </w:r>
      <w:r w:rsidR="00C121EA">
        <w:t>,</w:t>
      </w:r>
      <w:r>
        <w:t xml:space="preserve"> </w:t>
      </w:r>
      <w:r w:rsidR="00C121EA">
        <w:t>t</w:t>
      </w:r>
      <w:r>
        <w:t xml:space="preserve">ilsvarende rundt 120.000 kroner. </w:t>
      </w:r>
    </w:p>
    <w:p w:rsidR="00C121EA" w:rsidRDefault="00C121EA"/>
    <w:p w:rsidR="00A24DC6" w:rsidRDefault="00851F84">
      <w:r w:rsidRPr="00861F5B">
        <w:rPr>
          <w:u w:val="single"/>
        </w:rPr>
        <w:t>Kostnaden</w:t>
      </w:r>
      <w:r w:rsidR="00DF4533" w:rsidRPr="00861F5B">
        <w:rPr>
          <w:u w:val="single"/>
        </w:rPr>
        <w:t>e</w:t>
      </w:r>
      <w:r w:rsidRPr="00861F5B">
        <w:rPr>
          <w:u w:val="single"/>
        </w:rPr>
        <w:t xml:space="preserve"> til vårmøtet</w:t>
      </w:r>
      <w:r>
        <w:t xml:space="preserve"> er</w:t>
      </w:r>
      <w:r w:rsidR="00A24DC6">
        <w:t xml:space="preserve">, som </w:t>
      </w:r>
      <w:r w:rsidR="00C121EA">
        <w:t xml:space="preserve">nevnt under inntektskapittelet, hårfint </w:t>
      </w:r>
      <w:r w:rsidR="006C217D">
        <w:t>lavere enn</w:t>
      </w:r>
      <w:bookmarkStart w:id="0" w:name="_GoBack"/>
      <w:bookmarkEnd w:id="0"/>
      <w:r w:rsidR="00C121EA">
        <w:t xml:space="preserve"> inntektene.</w:t>
      </w:r>
    </w:p>
    <w:p w:rsidR="00C121EA" w:rsidRDefault="00C121EA"/>
    <w:p w:rsidR="00066F7A" w:rsidRDefault="00861F5B">
      <w:r>
        <w:rPr>
          <w:u w:val="single"/>
        </w:rPr>
        <w:t>Kostnader andre møter</w:t>
      </w:r>
      <w:r w:rsidR="00066F7A">
        <w:t xml:space="preserve"> omfatter </w:t>
      </w:r>
      <w:r>
        <w:t>i utgangspunktet alle andre møter enn vårmøtet, høstmøtet og regionledersamlingen. Så langt er de største faktureringene på denne posten knyttet til velkomstseminaret, medierettsseminaret, NR Kompetanse (men her kommer det altså inntekter som motpost) og utgifter i forbindelse med NRs styremøter.</w:t>
      </w:r>
    </w:p>
    <w:p w:rsidR="001D7B1B" w:rsidRDefault="001D7B1B"/>
    <w:p w:rsidR="002A2C1E" w:rsidRDefault="00861F5B">
      <w:r>
        <w:rPr>
          <w:u w:val="single"/>
        </w:rPr>
        <w:t>Honorar uten trekk</w:t>
      </w:r>
      <w:r>
        <w:t xml:space="preserve"> gjelder utbetalinger til Trine Østlyngen</w:t>
      </w:r>
      <w:r w:rsidR="00C121EA">
        <w:t xml:space="preserve"> på 475.000 kroner.</w:t>
      </w:r>
      <w:r w:rsidR="009E0EF9">
        <w:t xml:space="preserve"> Hun </w:t>
      </w:r>
      <w:r>
        <w:t xml:space="preserve">utfører </w:t>
      </w:r>
      <w:r w:rsidR="009E0EF9">
        <w:t xml:space="preserve">som kjent </w:t>
      </w:r>
      <w:r>
        <w:t>prosjektarbeid tilsvarende halv stilling for NR i 2012, som erstatning for tapt arbeidskraft ved at generalsekretæren i stor grad er engasjert i arbeidet med Mediearkivet. Utbetalingene</w:t>
      </w:r>
      <w:r w:rsidR="002A2C1E">
        <w:t xml:space="preserve"> til Østlyngen</w:t>
      </w:r>
      <w:r>
        <w:t xml:space="preserve"> er så langt </w:t>
      </w:r>
      <w:r w:rsidR="002A2C1E">
        <w:t xml:space="preserve">i tråd med </w:t>
      </w:r>
      <w:r>
        <w:t>budsjett</w:t>
      </w:r>
      <w:r w:rsidR="002A2C1E">
        <w:t>et, men vil i løpet av mai og juni overskride halvårsperiodiseringen</w:t>
      </w:r>
      <w:r>
        <w:t xml:space="preserve">. Dette er bevisst fra sekretariatets side, fordi det er større behov for </w:t>
      </w:r>
      <w:r w:rsidR="002A2C1E">
        <w:t xml:space="preserve">å bruke </w:t>
      </w:r>
      <w:r>
        <w:t>Østlyngen i vårhalvåret enn i høsthalvåret</w:t>
      </w:r>
      <w:r w:rsidR="009E0EF9">
        <w:t>, noe som</w:t>
      </w:r>
      <w:r>
        <w:t xml:space="preserve"> ikke minst </w:t>
      </w:r>
      <w:r w:rsidR="009E0EF9">
        <w:t xml:space="preserve">skyldes </w:t>
      </w:r>
      <w:r>
        <w:t>arbeidet med Nasjonal redaksjonell årsrapport. Sekretariatet mener imidlertid at det skal være mulig å holde utgiftene på denne posten innenfor budsjettrammen.</w:t>
      </w:r>
      <w:r w:rsidR="002A2C1E">
        <w:t xml:space="preserve"> </w:t>
      </w:r>
    </w:p>
    <w:p w:rsidR="00C121EA" w:rsidRDefault="00C121EA"/>
    <w:p w:rsidR="002A2C1E" w:rsidRDefault="002A2C1E">
      <w:r>
        <w:rPr>
          <w:u w:val="single"/>
        </w:rPr>
        <w:t>Diverse kostnader</w:t>
      </w:r>
      <w:r>
        <w:t xml:space="preserve"> er tilfeldige kostnader, som ikke er forhåndsdefinert, mens utgiftene til </w:t>
      </w:r>
      <w:r>
        <w:rPr>
          <w:u w:val="single"/>
        </w:rPr>
        <w:t>Pressekort</w:t>
      </w:r>
      <w:r>
        <w:t xml:space="preserve"> er som forventet.</w:t>
      </w:r>
    </w:p>
    <w:p w:rsidR="002A2C1E" w:rsidRDefault="002A2C1E"/>
    <w:p w:rsidR="00C12186" w:rsidRDefault="002A2C1E">
      <w:r>
        <w:rPr>
          <w:u w:val="single"/>
        </w:rPr>
        <w:t>Prosjekter og utredninger</w:t>
      </w:r>
      <w:r>
        <w:t xml:space="preserve"> gjelder ulike tiltak utenom handlingsplanen. De 50.000 kronene som er utgiftsført her så langt i år gjelder en utbetaling til innkjøp av Norsk Pressehistorie til folkebibliotekene, i tråd med styrets vedtak i sak 2012-08. I tillegg kommer</w:t>
      </w:r>
      <w:r w:rsidR="00C121EA">
        <w:t xml:space="preserve"> advokathonorarer knyttet til rettslige spørsmål i forbindelse med 22. julirettssaken. S</w:t>
      </w:r>
      <w:r>
        <w:t>om</w:t>
      </w:r>
      <w:r w:rsidR="00C121EA">
        <w:t xml:space="preserve"> nevnt</w:t>
      </w:r>
      <w:r>
        <w:t xml:space="preserve"> under omtalen av posten </w:t>
      </w:r>
      <w:r w:rsidR="00C121EA">
        <w:t xml:space="preserve">«Tiltak i handlingsplanen» skal ytterligere </w:t>
      </w:r>
      <w:r>
        <w:t>en advokatregning på kr 127.500</w:t>
      </w:r>
      <w:r w:rsidR="00C121EA">
        <w:t xml:space="preserve"> føres på «Prosjekter og utredninger».</w:t>
      </w:r>
      <w:r>
        <w:t xml:space="preserve"> Det innebærer at budsjettposten </w:t>
      </w:r>
      <w:r w:rsidR="00C121EA">
        <w:t>allerede er overskredet, noe som altså først og fremst skyldes de noe upåregnelige utgiftene knyttet til 22. juli-saken.</w:t>
      </w:r>
    </w:p>
    <w:p w:rsidR="00C121EA" w:rsidRDefault="00C121EA"/>
    <w:p w:rsidR="00951D36" w:rsidRPr="006C217D" w:rsidRDefault="00DF4533" w:rsidP="00C12186">
      <w:pPr>
        <w:rPr>
          <w:color w:val="FF0000"/>
        </w:rPr>
      </w:pPr>
      <w:r w:rsidRPr="00AD4D7A">
        <w:rPr>
          <w:u w:val="single"/>
        </w:rPr>
        <w:t>Lønnskostnadene</w:t>
      </w:r>
      <w:r>
        <w:t xml:space="preserve"> er </w:t>
      </w:r>
      <w:r w:rsidR="00C121EA">
        <w:t>i sum 34.000 kroner høyere enn</w:t>
      </w:r>
      <w:r>
        <w:t xml:space="preserve"> budsjett</w:t>
      </w:r>
      <w:r w:rsidR="003166F4">
        <w:t>er</w:t>
      </w:r>
      <w:r w:rsidR="00C12186">
        <w:t xml:space="preserve">t. </w:t>
      </w:r>
      <w:r w:rsidR="00C121EA">
        <w:t xml:space="preserve">Da hører det med at posten for refunderte </w:t>
      </w:r>
      <w:r w:rsidR="00A45E5A">
        <w:t>administrasjonskostnader også inkluderer refusjon av kr 200.000 i lønn for generalsekretæren, fra Pressens Faglitteraturf</w:t>
      </w:r>
      <w:r w:rsidR="009833FF">
        <w:t>ond. Disse er ikke inntektsført ennå.</w:t>
      </w:r>
    </w:p>
    <w:p w:rsidR="00AD4D7A" w:rsidRDefault="00AD4D7A"/>
    <w:p w:rsidR="003166F4" w:rsidRDefault="00AD4D7A">
      <w:r w:rsidRPr="00AD4D7A">
        <w:rPr>
          <w:u w:val="single"/>
        </w:rPr>
        <w:t>Driftskostnadene</w:t>
      </w:r>
      <w:r>
        <w:t xml:space="preserve"> er i sto</w:t>
      </w:r>
      <w:r w:rsidR="003166F4">
        <w:t>re trekk i samsvar med budsjett,</w:t>
      </w:r>
      <w:r w:rsidR="00A45E5A">
        <w:t xml:space="preserve"> eller de viser et mindre forbruk enn budsjettert. </w:t>
      </w:r>
      <w:r w:rsidR="003166F4">
        <w:t xml:space="preserve"> </w:t>
      </w:r>
    </w:p>
    <w:p w:rsidR="00A45E5A" w:rsidRDefault="00A45E5A"/>
    <w:p w:rsidR="003166F4" w:rsidRPr="004F178B" w:rsidRDefault="004F178B">
      <w:r>
        <w:rPr>
          <w:u w:val="single"/>
        </w:rPr>
        <w:t>Kontorkostnadene</w:t>
      </w:r>
      <w:r>
        <w:t xml:space="preserve"> viser et betydelig underforbruk, målt mot budsjett, men dette er utgifter som varierer over tid. Vi har strengt tatt ingen god forklaring på hvorfor vi har et så vidt betydelig overforbruk på posten </w:t>
      </w:r>
      <w:r w:rsidRPr="004F178B">
        <w:rPr>
          <w:u w:val="single"/>
        </w:rPr>
        <w:t>aviser og faglitteratur</w:t>
      </w:r>
      <w:r>
        <w:t>, men det er nok en viss «dobbeltabonnering», som følge av at sekretariatet forsøker å følge med på hva som skjer i blant annet brett-verdenen.</w:t>
      </w:r>
      <w:r w:rsidR="003F7A9B">
        <w:t xml:space="preserve"> </w:t>
      </w:r>
      <w:r w:rsidR="006C217D">
        <w:t xml:space="preserve">Samtidig har nok innkjøpet av faglitteratur økt noe. </w:t>
      </w:r>
    </w:p>
    <w:p w:rsidR="004F178B" w:rsidRDefault="004F178B">
      <w:r>
        <w:t xml:space="preserve"> </w:t>
      </w:r>
    </w:p>
    <w:p w:rsidR="004F178B" w:rsidRDefault="004F178B">
      <w:r>
        <w:t>De øvrige postene under ka</w:t>
      </w:r>
      <w:r w:rsidR="006C217D">
        <w:t>pittelet «Driftskostnader» er enten i tråd med, eller viser i underforbruk, sett opp mot</w:t>
      </w:r>
      <w:r>
        <w:t xml:space="preserve"> periodisert budsjett.</w:t>
      </w:r>
    </w:p>
    <w:p w:rsidR="004F178B" w:rsidRDefault="004F178B"/>
    <w:p w:rsidR="004F178B" w:rsidRDefault="004F178B"/>
    <w:p w:rsidR="009C37E0" w:rsidRDefault="009C37E0" w:rsidP="009C37E0">
      <w:pPr>
        <w:jc w:val="center"/>
      </w:pPr>
      <w:r>
        <w:t>***</w:t>
      </w:r>
    </w:p>
    <w:p w:rsidR="009C37E0" w:rsidRDefault="009C37E0">
      <w:r>
        <w:t>Resultatet</w:t>
      </w:r>
      <w:r w:rsidR="004F178B">
        <w:t xml:space="preserve"> ved utgangen av </w:t>
      </w:r>
      <w:r w:rsidR="006C217D">
        <w:t>august</w:t>
      </w:r>
      <w:r w:rsidR="004F178B">
        <w:t xml:space="preserve"> er et </w:t>
      </w:r>
      <w:r w:rsidR="006C217D">
        <w:t>over</w:t>
      </w:r>
      <w:r w:rsidR="004F178B">
        <w:t xml:space="preserve">skudd på </w:t>
      </w:r>
      <w:r w:rsidR="006C217D">
        <w:t>184.000</w:t>
      </w:r>
      <w:r w:rsidR="004F178B">
        <w:t xml:space="preserve"> kroner. Sekretariatet </w:t>
      </w:r>
      <w:r w:rsidR="006C217D">
        <w:t xml:space="preserve">er langt fra overbevist om </w:t>
      </w:r>
      <w:r w:rsidR="004F178B">
        <w:t>årsresultatet</w:t>
      </w:r>
      <w:r w:rsidR="006C217D">
        <w:t xml:space="preserve"> vil bli i samme størrelsesorden</w:t>
      </w:r>
      <w:r w:rsidR="004F178B">
        <w:t>. Inntektssiden ser</w:t>
      </w:r>
      <w:r w:rsidR="006C217D">
        <w:t xml:space="preserve"> imidlertid uansett</w:t>
      </w:r>
      <w:r w:rsidR="004F178B">
        <w:t xml:space="preserve"> ut til å gå bedre enn forventet. På utgiftssiden er det </w:t>
      </w:r>
      <w:r w:rsidR="006C217D">
        <w:t>fortsatt i hovedsak</w:t>
      </w:r>
      <w:r w:rsidR="004F178B">
        <w:t xml:space="preserve"> de ikke-budsjettert utgiftene knyttet til advokatbistand i forbindelse med 22. juli-sakene som det ikke er tatt høyde for. </w:t>
      </w:r>
      <w:r w:rsidR="006C217D">
        <w:t>Dermed er det heller ingen grunn til uro for årsresultatet.</w:t>
      </w:r>
    </w:p>
    <w:p w:rsidR="009C37E0" w:rsidRDefault="009C37E0"/>
    <w:p w:rsidR="009C37E0" w:rsidRDefault="009C37E0">
      <w:r w:rsidRPr="009C37E0">
        <w:rPr>
          <w:u w:val="single"/>
        </w:rPr>
        <w:t>Forslag til vedtak</w:t>
      </w:r>
      <w:r>
        <w:t>:</w:t>
      </w:r>
    </w:p>
    <w:p w:rsidR="009C37E0" w:rsidRDefault="009C37E0">
      <w:r>
        <w:t xml:space="preserve">Regnskapsrapporten per 31. </w:t>
      </w:r>
      <w:r w:rsidR="006C217D">
        <w:t xml:space="preserve">august </w:t>
      </w:r>
      <w:r>
        <w:t>201</w:t>
      </w:r>
      <w:r w:rsidR="004F178B">
        <w:t>2</w:t>
      </w:r>
      <w:r>
        <w:t xml:space="preserve"> tas til orientering.</w:t>
      </w:r>
    </w:p>
    <w:p w:rsidR="00C12186" w:rsidRDefault="00C12186"/>
    <w:p w:rsidR="00C12186" w:rsidRDefault="00C12186"/>
    <w:p w:rsidR="00C12186" w:rsidRDefault="00C12186"/>
    <w:p w:rsidR="00C12186" w:rsidRDefault="00C12186"/>
    <w:p w:rsidR="00C12186" w:rsidRDefault="00C12186"/>
    <w:p w:rsidR="00C12186" w:rsidRDefault="00C12186"/>
    <w:p w:rsidR="006C217D" w:rsidRDefault="006C217D"/>
    <w:p w:rsidR="006C217D" w:rsidRDefault="006C217D"/>
    <w:p w:rsidR="006C217D" w:rsidRDefault="006C217D"/>
    <w:p w:rsidR="006C217D" w:rsidRDefault="006C217D"/>
    <w:p w:rsidR="006C217D" w:rsidRDefault="006C217D"/>
    <w:p w:rsidR="006C217D" w:rsidRDefault="006C217D"/>
    <w:p w:rsidR="006C217D" w:rsidRDefault="006C217D"/>
    <w:p w:rsidR="006C217D" w:rsidRDefault="006C217D"/>
    <w:p w:rsidR="006C217D" w:rsidRDefault="006C217D"/>
    <w:p w:rsidR="006C217D" w:rsidRDefault="006C217D"/>
    <w:p w:rsidR="006C217D" w:rsidRDefault="006C217D"/>
    <w:p w:rsidR="006C217D" w:rsidRDefault="006C217D"/>
    <w:p w:rsidR="006C217D" w:rsidRDefault="006C217D"/>
    <w:p w:rsidR="006C217D" w:rsidRDefault="006C217D"/>
    <w:p w:rsidR="006C217D" w:rsidRDefault="006C217D"/>
    <w:p w:rsidR="006C217D" w:rsidRDefault="006C217D"/>
    <w:p w:rsidR="00C12186" w:rsidRDefault="00C12186"/>
    <w:p w:rsidR="00C12186" w:rsidRDefault="00C12186"/>
    <w:tbl>
      <w:tblPr>
        <w:tblW w:w="9160" w:type="dxa"/>
        <w:tblInd w:w="55" w:type="dxa"/>
        <w:tblCellMar>
          <w:left w:w="70" w:type="dxa"/>
          <w:right w:w="70" w:type="dxa"/>
        </w:tblCellMar>
        <w:tblLook w:val="04A0"/>
      </w:tblPr>
      <w:tblGrid>
        <w:gridCol w:w="804"/>
        <w:gridCol w:w="804"/>
        <w:gridCol w:w="804"/>
        <w:gridCol w:w="240"/>
        <w:gridCol w:w="564"/>
        <w:gridCol w:w="804"/>
        <w:gridCol w:w="482"/>
        <w:gridCol w:w="518"/>
        <w:gridCol w:w="738"/>
        <w:gridCol w:w="342"/>
        <w:gridCol w:w="914"/>
        <w:gridCol w:w="86"/>
        <w:gridCol w:w="1060"/>
        <w:gridCol w:w="110"/>
        <w:gridCol w:w="196"/>
        <w:gridCol w:w="694"/>
      </w:tblGrid>
      <w:tr w:rsidR="003854D8" w:rsidTr="006C217D">
        <w:trPr>
          <w:trHeight w:val="450"/>
        </w:trPr>
        <w:tc>
          <w:tcPr>
            <w:tcW w:w="4020" w:type="dxa"/>
            <w:gridSpan w:val="6"/>
            <w:tcBorders>
              <w:top w:val="single" w:sz="4" w:space="0" w:color="auto"/>
              <w:left w:val="single" w:sz="4" w:space="0" w:color="auto"/>
              <w:bottom w:val="nil"/>
              <w:right w:val="nil"/>
            </w:tcBorders>
            <w:shd w:val="clear" w:color="000000" w:fill="FFFFFF"/>
            <w:noWrap/>
            <w:vAlign w:val="bottom"/>
            <w:hideMark/>
          </w:tcPr>
          <w:p w:rsidR="003854D8" w:rsidRDefault="003854D8">
            <w:pPr>
              <w:rPr>
                <w:b/>
                <w:bCs/>
                <w:sz w:val="36"/>
                <w:szCs w:val="36"/>
              </w:rPr>
            </w:pPr>
            <w:bookmarkStart w:id="1" w:name="RANGE!A1:J64"/>
            <w:r>
              <w:rPr>
                <w:b/>
                <w:bCs/>
                <w:sz w:val="36"/>
                <w:szCs w:val="36"/>
              </w:rPr>
              <w:lastRenderedPageBreak/>
              <w:t>Norsk Redaktørforening</w:t>
            </w:r>
            <w:bookmarkEnd w:id="1"/>
          </w:p>
        </w:tc>
        <w:tc>
          <w:tcPr>
            <w:tcW w:w="1000" w:type="dxa"/>
            <w:gridSpan w:val="2"/>
            <w:tcBorders>
              <w:top w:val="single" w:sz="4" w:space="0" w:color="auto"/>
              <w:left w:val="nil"/>
              <w:bottom w:val="nil"/>
              <w:right w:val="nil"/>
            </w:tcBorders>
            <w:shd w:val="clear" w:color="000000" w:fill="FFFFFF"/>
            <w:noWrap/>
            <w:vAlign w:val="bottom"/>
            <w:hideMark/>
          </w:tcPr>
          <w:p w:rsidR="003854D8" w:rsidRDefault="003854D8">
            <w:pPr>
              <w:rPr>
                <w:rFonts w:ascii="Arial" w:hAnsi="Arial" w:cs="Arial"/>
                <w:b/>
                <w:bCs/>
                <w:sz w:val="18"/>
                <w:szCs w:val="18"/>
              </w:rPr>
            </w:pPr>
            <w:r>
              <w:rPr>
                <w:rFonts w:ascii="Arial" w:hAnsi="Arial" w:cs="Arial"/>
                <w:b/>
                <w:bCs/>
                <w:sz w:val="18"/>
                <w:szCs w:val="18"/>
              </w:rPr>
              <w:t> </w:t>
            </w:r>
          </w:p>
        </w:tc>
        <w:tc>
          <w:tcPr>
            <w:tcW w:w="1080" w:type="dxa"/>
            <w:gridSpan w:val="2"/>
            <w:tcBorders>
              <w:top w:val="single" w:sz="4" w:space="0" w:color="auto"/>
              <w:left w:val="nil"/>
              <w:bottom w:val="nil"/>
              <w:right w:val="nil"/>
            </w:tcBorders>
            <w:shd w:val="clear" w:color="auto" w:fill="auto"/>
            <w:noWrap/>
            <w:vAlign w:val="bottom"/>
            <w:hideMark/>
          </w:tcPr>
          <w:p w:rsidR="003854D8" w:rsidRDefault="003854D8">
            <w:pPr>
              <w:rPr>
                <w:rFonts w:ascii="Arial" w:hAnsi="Arial" w:cs="Arial"/>
                <w:sz w:val="18"/>
                <w:szCs w:val="18"/>
              </w:rPr>
            </w:pPr>
            <w:r>
              <w:rPr>
                <w:rFonts w:ascii="Arial" w:hAnsi="Arial" w:cs="Arial"/>
                <w:sz w:val="18"/>
                <w:szCs w:val="18"/>
              </w:rPr>
              <w:t> </w:t>
            </w:r>
          </w:p>
        </w:tc>
        <w:tc>
          <w:tcPr>
            <w:tcW w:w="1000" w:type="dxa"/>
            <w:gridSpan w:val="2"/>
            <w:tcBorders>
              <w:top w:val="single" w:sz="4" w:space="0" w:color="auto"/>
              <w:left w:val="nil"/>
              <w:bottom w:val="nil"/>
              <w:right w:val="nil"/>
            </w:tcBorders>
            <w:shd w:val="clear" w:color="auto" w:fill="auto"/>
            <w:noWrap/>
            <w:vAlign w:val="bottom"/>
            <w:hideMark/>
          </w:tcPr>
          <w:p w:rsidR="003854D8" w:rsidRDefault="003854D8">
            <w:pPr>
              <w:rPr>
                <w:rFonts w:ascii="Arial" w:hAnsi="Arial" w:cs="Arial"/>
                <w:sz w:val="18"/>
                <w:szCs w:val="18"/>
              </w:rPr>
            </w:pPr>
            <w:r>
              <w:rPr>
                <w:rFonts w:ascii="Arial" w:hAnsi="Arial" w:cs="Arial"/>
                <w:sz w:val="18"/>
                <w:szCs w:val="18"/>
              </w:rPr>
              <w:t> </w:t>
            </w:r>
          </w:p>
        </w:tc>
        <w:tc>
          <w:tcPr>
            <w:tcW w:w="1060" w:type="dxa"/>
            <w:tcBorders>
              <w:top w:val="single" w:sz="4" w:space="0" w:color="auto"/>
              <w:left w:val="nil"/>
              <w:bottom w:val="nil"/>
              <w:right w:val="nil"/>
            </w:tcBorders>
            <w:shd w:val="clear" w:color="auto" w:fill="auto"/>
            <w:noWrap/>
            <w:vAlign w:val="bottom"/>
            <w:hideMark/>
          </w:tcPr>
          <w:p w:rsidR="003854D8" w:rsidRDefault="003854D8">
            <w:pPr>
              <w:rPr>
                <w:rFonts w:ascii="Arial" w:hAnsi="Arial" w:cs="Arial"/>
                <w:sz w:val="18"/>
                <w:szCs w:val="18"/>
              </w:rPr>
            </w:pPr>
            <w:r>
              <w:rPr>
                <w:rFonts w:ascii="Arial" w:hAnsi="Arial" w:cs="Arial"/>
                <w:sz w:val="18"/>
                <w:szCs w:val="18"/>
              </w:rPr>
              <w:t> </w:t>
            </w:r>
          </w:p>
        </w:tc>
        <w:tc>
          <w:tcPr>
            <w:tcW w:w="1000" w:type="dxa"/>
            <w:gridSpan w:val="3"/>
            <w:tcBorders>
              <w:top w:val="single" w:sz="4" w:space="0" w:color="auto"/>
              <w:left w:val="nil"/>
              <w:bottom w:val="nil"/>
              <w:right w:val="nil"/>
            </w:tcBorders>
            <w:shd w:val="clear" w:color="000000" w:fill="FFFFFF"/>
            <w:noWrap/>
            <w:vAlign w:val="bottom"/>
            <w:hideMark/>
          </w:tcPr>
          <w:p w:rsidR="003854D8" w:rsidRDefault="003854D8">
            <w:pPr>
              <w:rPr>
                <w:rFonts w:ascii="Arial" w:hAnsi="Arial" w:cs="Arial"/>
                <w:b/>
                <w:bCs/>
                <w:sz w:val="18"/>
                <w:szCs w:val="18"/>
              </w:rPr>
            </w:pPr>
            <w:r>
              <w:rPr>
                <w:rFonts w:ascii="Arial" w:hAnsi="Arial" w:cs="Arial"/>
                <w:b/>
                <w:bCs/>
                <w:sz w:val="18"/>
                <w:szCs w:val="18"/>
              </w:rPr>
              <w:t> </w:t>
            </w:r>
          </w:p>
        </w:tc>
      </w:tr>
      <w:tr w:rsidR="003854D8" w:rsidTr="006C217D">
        <w:trPr>
          <w:trHeight w:val="240"/>
        </w:trPr>
        <w:tc>
          <w:tcPr>
            <w:tcW w:w="804" w:type="dxa"/>
            <w:tcBorders>
              <w:top w:val="single" w:sz="4" w:space="0" w:color="auto"/>
              <w:left w:val="single" w:sz="4" w:space="0" w:color="auto"/>
              <w:bottom w:val="nil"/>
              <w:right w:val="nil"/>
            </w:tcBorders>
            <w:shd w:val="clear" w:color="000000" w:fill="CCFFCC"/>
            <w:noWrap/>
            <w:vAlign w:val="bottom"/>
            <w:hideMark/>
          </w:tcPr>
          <w:p w:rsidR="003854D8" w:rsidRDefault="003854D8">
            <w:pPr>
              <w:rPr>
                <w:rFonts w:ascii="Arial" w:hAnsi="Arial" w:cs="Arial"/>
                <w:b/>
                <w:bCs/>
                <w:sz w:val="18"/>
                <w:szCs w:val="18"/>
              </w:rPr>
            </w:pPr>
            <w:r>
              <w:rPr>
                <w:rFonts w:ascii="Arial" w:hAnsi="Arial" w:cs="Arial"/>
                <w:b/>
                <w:bCs/>
                <w:sz w:val="18"/>
                <w:szCs w:val="18"/>
              </w:rPr>
              <w:t xml:space="preserve"> </w:t>
            </w:r>
          </w:p>
        </w:tc>
        <w:tc>
          <w:tcPr>
            <w:tcW w:w="804" w:type="dxa"/>
            <w:tcBorders>
              <w:top w:val="single" w:sz="4" w:space="0" w:color="auto"/>
              <w:left w:val="nil"/>
              <w:bottom w:val="nil"/>
              <w:right w:val="nil"/>
            </w:tcBorders>
            <w:shd w:val="clear" w:color="000000" w:fill="CCFFCC"/>
            <w:noWrap/>
            <w:vAlign w:val="bottom"/>
            <w:hideMark/>
          </w:tcPr>
          <w:p w:rsidR="003854D8" w:rsidRDefault="003854D8">
            <w:pPr>
              <w:rPr>
                <w:rFonts w:ascii="Arial" w:hAnsi="Arial" w:cs="Arial"/>
                <w:sz w:val="18"/>
                <w:szCs w:val="18"/>
              </w:rPr>
            </w:pPr>
            <w:r>
              <w:rPr>
                <w:rFonts w:ascii="Arial" w:hAnsi="Arial" w:cs="Arial"/>
                <w:sz w:val="18"/>
                <w:szCs w:val="18"/>
              </w:rPr>
              <w:t> </w:t>
            </w:r>
          </w:p>
        </w:tc>
        <w:tc>
          <w:tcPr>
            <w:tcW w:w="804" w:type="dxa"/>
            <w:tcBorders>
              <w:top w:val="single" w:sz="4" w:space="0" w:color="auto"/>
              <w:left w:val="nil"/>
              <w:bottom w:val="nil"/>
              <w:right w:val="nil"/>
            </w:tcBorders>
            <w:shd w:val="clear" w:color="000000" w:fill="CCFFCC"/>
            <w:noWrap/>
            <w:vAlign w:val="bottom"/>
            <w:hideMark/>
          </w:tcPr>
          <w:p w:rsidR="003854D8" w:rsidRDefault="003854D8">
            <w:pPr>
              <w:rPr>
                <w:rFonts w:ascii="Arial" w:hAnsi="Arial" w:cs="Arial"/>
                <w:sz w:val="18"/>
                <w:szCs w:val="18"/>
              </w:rPr>
            </w:pPr>
            <w:r>
              <w:rPr>
                <w:rFonts w:ascii="Arial" w:hAnsi="Arial" w:cs="Arial"/>
                <w:sz w:val="18"/>
                <w:szCs w:val="18"/>
              </w:rPr>
              <w:t> </w:t>
            </w:r>
          </w:p>
        </w:tc>
        <w:tc>
          <w:tcPr>
            <w:tcW w:w="804" w:type="dxa"/>
            <w:gridSpan w:val="2"/>
            <w:tcBorders>
              <w:top w:val="single" w:sz="4" w:space="0" w:color="auto"/>
              <w:left w:val="nil"/>
              <w:bottom w:val="nil"/>
              <w:right w:val="nil"/>
            </w:tcBorders>
            <w:shd w:val="clear" w:color="000000" w:fill="CCFFCC"/>
            <w:noWrap/>
            <w:vAlign w:val="bottom"/>
            <w:hideMark/>
          </w:tcPr>
          <w:p w:rsidR="003854D8" w:rsidRDefault="003854D8">
            <w:pPr>
              <w:rPr>
                <w:rFonts w:ascii="Arial" w:hAnsi="Arial" w:cs="Arial"/>
                <w:sz w:val="18"/>
                <w:szCs w:val="18"/>
              </w:rPr>
            </w:pPr>
            <w:r>
              <w:rPr>
                <w:rFonts w:ascii="Arial" w:hAnsi="Arial" w:cs="Arial"/>
                <w:sz w:val="18"/>
                <w:szCs w:val="18"/>
              </w:rPr>
              <w:t> </w:t>
            </w:r>
          </w:p>
        </w:tc>
        <w:tc>
          <w:tcPr>
            <w:tcW w:w="804" w:type="dxa"/>
            <w:tcBorders>
              <w:top w:val="single" w:sz="4" w:space="0" w:color="auto"/>
              <w:left w:val="nil"/>
              <w:bottom w:val="nil"/>
              <w:right w:val="nil"/>
            </w:tcBorders>
            <w:shd w:val="clear" w:color="000000" w:fill="CCFFCC"/>
            <w:noWrap/>
            <w:vAlign w:val="bottom"/>
            <w:hideMark/>
          </w:tcPr>
          <w:p w:rsidR="003854D8" w:rsidRDefault="003854D8">
            <w:pPr>
              <w:rPr>
                <w:rFonts w:ascii="Arial" w:hAnsi="Arial" w:cs="Arial"/>
                <w:sz w:val="18"/>
                <w:szCs w:val="18"/>
              </w:rPr>
            </w:pPr>
            <w:r>
              <w:rPr>
                <w:rFonts w:ascii="Arial" w:hAnsi="Arial" w:cs="Arial"/>
                <w:sz w:val="18"/>
                <w:szCs w:val="18"/>
              </w:rPr>
              <w:t> </w:t>
            </w:r>
          </w:p>
        </w:tc>
        <w:tc>
          <w:tcPr>
            <w:tcW w:w="1000" w:type="dxa"/>
            <w:gridSpan w:val="2"/>
            <w:tcBorders>
              <w:top w:val="single" w:sz="4" w:space="0" w:color="auto"/>
              <w:left w:val="single" w:sz="4" w:space="0" w:color="auto"/>
              <w:bottom w:val="nil"/>
              <w:right w:val="single" w:sz="4" w:space="0" w:color="auto"/>
            </w:tcBorders>
            <w:shd w:val="clear" w:color="000000" w:fill="CCFFCC"/>
            <w:noWrap/>
            <w:vAlign w:val="bottom"/>
            <w:hideMark/>
          </w:tcPr>
          <w:p w:rsidR="003854D8" w:rsidRDefault="003854D8">
            <w:pPr>
              <w:jc w:val="center"/>
              <w:rPr>
                <w:rFonts w:ascii="Arial" w:hAnsi="Arial" w:cs="Arial"/>
                <w:b/>
                <w:bCs/>
                <w:sz w:val="18"/>
                <w:szCs w:val="18"/>
              </w:rPr>
            </w:pPr>
            <w:r>
              <w:rPr>
                <w:rFonts w:ascii="Arial" w:hAnsi="Arial" w:cs="Arial"/>
                <w:b/>
                <w:bCs/>
                <w:sz w:val="18"/>
                <w:szCs w:val="18"/>
              </w:rPr>
              <w:t xml:space="preserve"> </w:t>
            </w:r>
          </w:p>
        </w:tc>
        <w:tc>
          <w:tcPr>
            <w:tcW w:w="1080" w:type="dxa"/>
            <w:gridSpan w:val="2"/>
            <w:tcBorders>
              <w:top w:val="single" w:sz="4" w:space="0" w:color="auto"/>
              <w:left w:val="nil"/>
              <w:bottom w:val="nil"/>
              <w:right w:val="single" w:sz="4" w:space="0" w:color="auto"/>
            </w:tcBorders>
            <w:shd w:val="clear" w:color="000000" w:fill="CCFFCC"/>
            <w:noWrap/>
            <w:vAlign w:val="bottom"/>
            <w:hideMark/>
          </w:tcPr>
          <w:p w:rsidR="003854D8" w:rsidRDefault="003854D8">
            <w:pPr>
              <w:jc w:val="center"/>
              <w:rPr>
                <w:rFonts w:ascii="Arial" w:hAnsi="Arial" w:cs="Arial"/>
                <w:b/>
                <w:bCs/>
                <w:sz w:val="18"/>
                <w:szCs w:val="18"/>
              </w:rPr>
            </w:pPr>
            <w:r>
              <w:rPr>
                <w:rFonts w:ascii="Arial" w:hAnsi="Arial" w:cs="Arial"/>
                <w:b/>
                <w:bCs/>
                <w:sz w:val="18"/>
                <w:szCs w:val="18"/>
              </w:rPr>
              <w:t xml:space="preserve"> </w:t>
            </w:r>
          </w:p>
        </w:tc>
        <w:tc>
          <w:tcPr>
            <w:tcW w:w="1000" w:type="dxa"/>
            <w:gridSpan w:val="2"/>
            <w:tcBorders>
              <w:top w:val="single" w:sz="4" w:space="0" w:color="auto"/>
              <w:left w:val="nil"/>
              <w:bottom w:val="nil"/>
              <w:right w:val="single" w:sz="4" w:space="0" w:color="auto"/>
            </w:tcBorders>
            <w:shd w:val="clear" w:color="000000" w:fill="CCFFCC"/>
            <w:noWrap/>
            <w:vAlign w:val="bottom"/>
            <w:hideMark/>
          </w:tcPr>
          <w:p w:rsidR="003854D8" w:rsidRDefault="003854D8">
            <w:pPr>
              <w:jc w:val="center"/>
              <w:rPr>
                <w:rFonts w:ascii="Arial" w:hAnsi="Arial" w:cs="Arial"/>
                <w:b/>
                <w:bCs/>
                <w:sz w:val="18"/>
                <w:szCs w:val="18"/>
              </w:rPr>
            </w:pPr>
            <w:r>
              <w:rPr>
                <w:rFonts w:ascii="Arial" w:hAnsi="Arial" w:cs="Arial"/>
                <w:b/>
                <w:bCs/>
                <w:sz w:val="18"/>
                <w:szCs w:val="18"/>
              </w:rPr>
              <w:t xml:space="preserve"> </w:t>
            </w:r>
          </w:p>
        </w:tc>
        <w:tc>
          <w:tcPr>
            <w:tcW w:w="1060" w:type="dxa"/>
            <w:tcBorders>
              <w:top w:val="single" w:sz="4" w:space="0" w:color="auto"/>
              <w:left w:val="nil"/>
              <w:bottom w:val="nil"/>
              <w:right w:val="single" w:sz="4" w:space="0" w:color="auto"/>
            </w:tcBorders>
            <w:shd w:val="clear" w:color="000000" w:fill="CCFFCC"/>
            <w:noWrap/>
            <w:vAlign w:val="bottom"/>
            <w:hideMark/>
          </w:tcPr>
          <w:p w:rsidR="003854D8" w:rsidRDefault="003854D8">
            <w:pPr>
              <w:jc w:val="center"/>
              <w:rPr>
                <w:rFonts w:ascii="Arial" w:hAnsi="Arial" w:cs="Arial"/>
                <w:b/>
                <w:bCs/>
                <w:sz w:val="18"/>
                <w:szCs w:val="18"/>
              </w:rPr>
            </w:pPr>
            <w:r>
              <w:rPr>
                <w:rFonts w:ascii="Arial" w:hAnsi="Arial" w:cs="Arial"/>
                <w:b/>
                <w:bCs/>
                <w:sz w:val="18"/>
                <w:szCs w:val="18"/>
              </w:rPr>
              <w:t xml:space="preserve"> </w:t>
            </w:r>
          </w:p>
        </w:tc>
        <w:tc>
          <w:tcPr>
            <w:tcW w:w="1000" w:type="dxa"/>
            <w:gridSpan w:val="3"/>
            <w:tcBorders>
              <w:top w:val="single" w:sz="4" w:space="0" w:color="auto"/>
              <w:left w:val="nil"/>
              <w:bottom w:val="nil"/>
              <w:right w:val="single" w:sz="4" w:space="0" w:color="auto"/>
            </w:tcBorders>
            <w:shd w:val="clear" w:color="000000" w:fill="CCFFCC"/>
            <w:noWrap/>
            <w:vAlign w:val="bottom"/>
            <w:hideMark/>
          </w:tcPr>
          <w:p w:rsidR="003854D8" w:rsidRDefault="003854D8">
            <w:pPr>
              <w:jc w:val="center"/>
              <w:rPr>
                <w:rFonts w:ascii="Arial" w:hAnsi="Arial" w:cs="Arial"/>
                <w:b/>
                <w:bCs/>
                <w:sz w:val="18"/>
                <w:szCs w:val="18"/>
              </w:rPr>
            </w:pPr>
            <w:r>
              <w:rPr>
                <w:rFonts w:ascii="Arial" w:hAnsi="Arial" w:cs="Arial"/>
                <w:b/>
                <w:bCs/>
                <w:sz w:val="18"/>
                <w:szCs w:val="18"/>
              </w:rPr>
              <w:t xml:space="preserve"> </w:t>
            </w:r>
          </w:p>
        </w:tc>
      </w:tr>
      <w:tr w:rsidR="003854D8" w:rsidTr="006C217D">
        <w:trPr>
          <w:trHeight w:val="240"/>
        </w:trPr>
        <w:tc>
          <w:tcPr>
            <w:tcW w:w="804" w:type="dxa"/>
            <w:tcBorders>
              <w:top w:val="nil"/>
              <w:left w:val="single" w:sz="4" w:space="0" w:color="auto"/>
              <w:bottom w:val="nil"/>
              <w:right w:val="nil"/>
            </w:tcBorders>
            <w:shd w:val="clear" w:color="000000" w:fill="CCFFCC"/>
            <w:noWrap/>
            <w:vAlign w:val="bottom"/>
            <w:hideMark/>
          </w:tcPr>
          <w:p w:rsidR="003854D8" w:rsidRDefault="003854D8">
            <w:pPr>
              <w:rPr>
                <w:rFonts w:ascii="Arial" w:hAnsi="Arial" w:cs="Arial"/>
                <w:b/>
                <w:bCs/>
                <w:sz w:val="18"/>
                <w:szCs w:val="18"/>
              </w:rPr>
            </w:pPr>
            <w:r>
              <w:rPr>
                <w:rFonts w:ascii="Arial" w:hAnsi="Arial" w:cs="Arial"/>
                <w:b/>
                <w:bCs/>
                <w:sz w:val="18"/>
                <w:szCs w:val="18"/>
              </w:rPr>
              <w:t xml:space="preserve"> </w:t>
            </w:r>
          </w:p>
        </w:tc>
        <w:tc>
          <w:tcPr>
            <w:tcW w:w="804" w:type="dxa"/>
            <w:tcBorders>
              <w:top w:val="nil"/>
              <w:left w:val="nil"/>
              <w:bottom w:val="nil"/>
              <w:right w:val="nil"/>
            </w:tcBorders>
            <w:shd w:val="clear" w:color="000000" w:fill="CCFFCC"/>
            <w:noWrap/>
            <w:vAlign w:val="bottom"/>
            <w:hideMark/>
          </w:tcPr>
          <w:p w:rsidR="003854D8" w:rsidRDefault="003854D8">
            <w:pPr>
              <w:rPr>
                <w:rFonts w:ascii="Arial" w:hAnsi="Arial" w:cs="Arial"/>
                <w:sz w:val="18"/>
                <w:szCs w:val="18"/>
              </w:rPr>
            </w:pPr>
            <w:r>
              <w:rPr>
                <w:rFonts w:ascii="Arial" w:hAnsi="Arial" w:cs="Arial"/>
                <w:sz w:val="18"/>
                <w:szCs w:val="18"/>
              </w:rPr>
              <w:t> </w:t>
            </w:r>
          </w:p>
        </w:tc>
        <w:tc>
          <w:tcPr>
            <w:tcW w:w="804" w:type="dxa"/>
            <w:tcBorders>
              <w:top w:val="nil"/>
              <w:left w:val="nil"/>
              <w:bottom w:val="nil"/>
              <w:right w:val="nil"/>
            </w:tcBorders>
            <w:shd w:val="clear" w:color="000000" w:fill="CCFFCC"/>
            <w:noWrap/>
            <w:vAlign w:val="bottom"/>
            <w:hideMark/>
          </w:tcPr>
          <w:p w:rsidR="003854D8" w:rsidRDefault="003854D8">
            <w:pPr>
              <w:rPr>
                <w:rFonts w:ascii="Arial" w:hAnsi="Arial" w:cs="Arial"/>
                <w:sz w:val="18"/>
                <w:szCs w:val="18"/>
              </w:rPr>
            </w:pPr>
            <w:r>
              <w:rPr>
                <w:rFonts w:ascii="Arial" w:hAnsi="Arial" w:cs="Arial"/>
                <w:sz w:val="18"/>
                <w:szCs w:val="18"/>
              </w:rPr>
              <w:t> </w:t>
            </w:r>
          </w:p>
        </w:tc>
        <w:tc>
          <w:tcPr>
            <w:tcW w:w="804" w:type="dxa"/>
            <w:gridSpan w:val="2"/>
            <w:tcBorders>
              <w:top w:val="nil"/>
              <w:left w:val="nil"/>
              <w:bottom w:val="nil"/>
              <w:right w:val="nil"/>
            </w:tcBorders>
            <w:shd w:val="clear" w:color="000000" w:fill="CCFFCC"/>
            <w:noWrap/>
            <w:vAlign w:val="bottom"/>
            <w:hideMark/>
          </w:tcPr>
          <w:p w:rsidR="003854D8" w:rsidRDefault="003854D8">
            <w:pPr>
              <w:rPr>
                <w:rFonts w:ascii="Arial" w:hAnsi="Arial" w:cs="Arial"/>
                <w:sz w:val="18"/>
                <w:szCs w:val="18"/>
              </w:rPr>
            </w:pPr>
            <w:r>
              <w:rPr>
                <w:rFonts w:ascii="Arial" w:hAnsi="Arial" w:cs="Arial"/>
                <w:sz w:val="18"/>
                <w:szCs w:val="18"/>
              </w:rPr>
              <w:t> </w:t>
            </w:r>
          </w:p>
        </w:tc>
        <w:tc>
          <w:tcPr>
            <w:tcW w:w="804" w:type="dxa"/>
            <w:tcBorders>
              <w:top w:val="nil"/>
              <w:left w:val="nil"/>
              <w:bottom w:val="nil"/>
              <w:right w:val="nil"/>
            </w:tcBorders>
            <w:shd w:val="clear" w:color="000000" w:fill="CCFFCC"/>
            <w:noWrap/>
            <w:vAlign w:val="bottom"/>
            <w:hideMark/>
          </w:tcPr>
          <w:p w:rsidR="003854D8" w:rsidRDefault="003854D8">
            <w:pPr>
              <w:rPr>
                <w:rFonts w:ascii="Arial" w:hAnsi="Arial" w:cs="Arial"/>
                <w:sz w:val="18"/>
                <w:szCs w:val="18"/>
              </w:rPr>
            </w:pPr>
            <w:r>
              <w:rPr>
                <w:rFonts w:ascii="Arial" w:hAnsi="Arial" w:cs="Arial"/>
                <w:sz w:val="18"/>
                <w:szCs w:val="18"/>
              </w:rPr>
              <w:t> </w:t>
            </w:r>
          </w:p>
        </w:tc>
        <w:tc>
          <w:tcPr>
            <w:tcW w:w="1000" w:type="dxa"/>
            <w:gridSpan w:val="2"/>
            <w:tcBorders>
              <w:top w:val="nil"/>
              <w:left w:val="single" w:sz="4" w:space="0" w:color="auto"/>
              <w:bottom w:val="nil"/>
              <w:right w:val="single" w:sz="4" w:space="0" w:color="auto"/>
            </w:tcBorders>
            <w:shd w:val="clear" w:color="000000" w:fill="CCFFCC"/>
            <w:noWrap/>
            <w:vAlign w:val="bottom"/>
            <w:hideMark/>
          </w:tcPr>
          <w:p w:rsidR="003854D8" w:rsidRDefault="003854D8">
            <w:pPr>
              <w:jc w:val="center"/>
              <w:rPr>
                <w:rFonts w:ascii="Arial" w:hAnsi="Arial" w:cs="Arial"/>
                <w:b/>
                <w:bCs/>
                <w:sz w:val="18"/>
                <w:szCs w:val="18"/>
              </w:rPr>
            </w:pPr>
            <w:r>
              <w:rPr>
                <w:rFonts w:ascii="Arial" w:hAnsi="Arial" w:cs="Arial"/>
                <w:b/>
                <w:bCs/>
                <w:sz w:val="18"/>
                <w:szCs w:val="18"/>
              </w:rPr>
              <w:t>Virkelig</w:t>
            </w:r>
          </w:p>
        </w:tc>
        <w:tc>
          <w:tcPr>
            <w:tcW w:w="1080" w:type="dxa"/>
            <w:gridSpan w:val="2"/>
            <w:tcBorders>
              <w:top w:val="nil"/>
              <w:left w:val="nil"/>
              <w:bottom w:val="nil"/>
              <w:right w:val="single" w:sz="4" w:space="0" w:color="auto"/>
            </w:tcBorders>
            <w:shd w:val="clear" w:color="000000" w:fill="CCFFCC"/>
            <w:noWrap/>
            <w:vAlign w:val="bottom"/>
            <w:hideMark/>
          </w:tcPr>
          <w:p w:rsidR="003854D8" w:rsidRDefault="003854D8">
            <w:pPr>
              <w:jc w:val="center"/>
              <w:rPr>
                <w:rFonts w:ascii="Arial" w:hAnsi="Arial" w:cs="Arial"/>
                <w:b/>
                <w:bCs/>
                <w:sz w:val="18"/>
                <w:szCs w:val="18"/>
              </w:rPr>
            </w:pPr>
            <w:r>
              <w:rPr>
                <w:rFonts w:ascii="Arial" w:hAnsi="Arial" w:cs="Arial"/>
                <w:b/>
                <w:bCs/>
                <w:sz w:val="18"/>
                <w:szCs w:val="18"/>
              </w:rPr>
              <w:t>Budsjett</w:t>
            </w:r>
          </w:p>
        </w:tc>
        <w:tc>
          <w:tcPr>
            <w:tcW w:w="1000" w:type="dxa"/>
            <w:gridSpan w:val="2"/>
            <w:tcBorders>
              <w:top w:val="nil"/>
              <w:left w:val="nil"/>
              <w:bottom w:val="nil"/>
              <w:right w:val="single" w:sz="4" w:space="0" w:color="auto"/>
            </w:tcBorders>
            <w:shd w:val="clear" w:color="000000" w:fill="CCFFCC"/>
            <w:noWrap/>
            <w:vAlign w:val="bottom"/>
            <w:hideMark/>
          </w:tcPr>
          <w:p w:rsidR="003854D8" w:rsidRDefault="003854D8">
            <w:pPr>
              <w:jc w:val="center"/>
              <w:rPr>
                <w:rFonts w:ascii="Arial" w:hAnsi="Arial" w:cs="Arial"/>
                <w:b/>
                <w:bCs/>
                <w:sz w:val="18"/>
                <w:szCs w:val="18"/>
              </w:rPr>
            </w:pPr>
            <w:r>
              <w:rPr>
                <w:rFonts w:ascii="Arial" w:hAnsi="Arial" w:cs="Arial"/>
                <w:b/>
                <w:bCs/>
                <w:sz w:val="18"/>
                <w:szCs w:val="18"/>
              </w:rPr>
              <w:t>Avvik</w:t>
            </w:r>
          </w:p>
        </w:tc>
        <w:tc>
          <w:tcPr>
            <w:tcW w:w="1060" w:type="dxa"/>
            <w:tcBorders>
              <w:top w:val="nil"/>
              <w:left w:val="nil"/>
              <w:bottom w:val="nil"/>
              <w:right w:val="single" w:sz="4" w:space="0" w:color="auto"/>
            </w:tcBorders>
            <w:shd w:val="clear" w:color="000000" w:fill="CCFFCC"/>
            <w:noWrap/>
            <w:vAlign w:val="bottom"/>
            <w:hideMark/>
          </w:tcPr>
          <w:p w:rsidR="003854D8" w:rsidRDefault="003854D8">
            <w:pPr>
              <w:jc w:val="center"/>
              <w:rPr>
                <w:rFonts w:ascii="Arial" w:hAnsi="Arial" w:cs="Arial"/>
                <w:b/>
                <w:bCs/>
                <w:sz w:val="18"/>
                <w:szCs w:val="18"/>
              </w:rPr>
            </w:pPr>
            <w:r>
              <w:rPr>
                <w:rFonts w:ascii="Arial" w:hAnsi="Arial" w:cs="Arial"/>
                <w:b/>
                <w:bCs/>
                <w:sz w:val="18"/>
                <w:szCs w:val="18"/>
              </w:rPr>
              <w:t>Budsjett</w:t>
            </w:r>
          </w:p>
        </w:tc>
        <w:tc>
          <w:tcPr>
            <w:tcW w:w="1000" w:type="dxa"/>
            <w:gridSpan w:val="3"/>
            <w:tcBorders>
              <w:top w:val="nil"/>
              <w:left w:val="nil"/>
              <w:bottom w:val="nil"/>
              <w:right w:val="single" w:sz="4" w:space="0" w:color="auto"/>
            </w:tcBorders>
            <w:shd w:val="clear" w:color="000000" w:fill="CCFFCC"/>
            <w:noWrap/>
            <w:vAlign w:val="bottom"/>
            <w:hideMark/>
          </w:tcPr>
          <w:p w:rsidR="003854D8" w:rsidRDefault="003854D8">
            <w:pPr>
              <w:jc w:val="center"/>
              <w:rPr>
                <w:rFonts w:ascii="Arial" w:hAnsi="Arial" w:cs="Arial"/>
                <w:b/>
                <w:bCs/>
                <w:sz w:val="18"/>
                <w:szCs w:val="18"/>
              </w:rPr>
            </w:pPr>
            <w:r>
              <w:rPr>
                <w:rFonts w:ascii="Arial" w:hAnsi="Arial" w:cs="Arial"/>
                <w:b/>
                <w:bCs/>
                <w:sz w:val="18"/>
                <w:szCs w:val="18"/>
              </w:rPr>
              <w:t>Fjorår</w:t>
            </w:r>
          </w:p>
        </w:tc>
      </w:tr>
      <w:tr w:rsidR="003854D8" w:rsidTr="006C217D">
        <w:trPr>
          <w:trHeight w:val="240"/>
        </w:trPr>
        <w:tc>
          <w:tcPr>
            <w:tcW w:w="1608" w:type="dxa"/>
            <w:gridSpan w:val="2"/>
            <w:tcBorders>
              <w:top w:val="nil"/>
              <w:left w:val="single" w:sz="4" w:space="0" w:color="auto"/>
              <w:bottom w:val="single" w:sz="4" w:space="0" w:color="auto"/>
              <w:right w:val="nil"/>
            </w:tcBorders>
            <w:shd w:val="clear" w:color="000000" w:fill="CCFFCC"/>
            <w:noWrap/>
            <w:vAlign w:val="bottom"/>
            <w:hideMark/>
          </w:tcPr>
          <w:p w:rsidR="003854D8" w:rsidRDefault="003854D8">
            <w:pPr>
              <w:rPr>
                <w:rFonts w:ascii="Arial" w:hAnsi="Arial" w:cs="Arial"/>
                <w:b/>
                <w:bCs/>
                <w:sz w:val="18"/>
                <w:szCs w:val="18"/>
              </w:rPr>
            </w:pPr>
            <w:r>
              <w:rPr>
                <w:rFonts w:ascii="Arial" w:hAnsi="Arial" w:cs="Arial"/>
                <w:b/>
                <w:bCs/>
                <w:sz w:val="18"/>
                <w:szCs w:val="18"/>
              </w:rPr>
              <w:t>INNTEKTER</w:t>
            </w:r>
          </w:p>
        </w:tc>
        <w:tc>
          <w:tcPr>
            <w:tcW w:w="804" w:type="dxa"/>
            <w:tcBorders>
              <w:top w:val="nil"/>
              <w:left w:val="nil"/>
              <w:bottom w:val="single" w:sz="4" w:space="0" w:color="auto"/>
              <w:right w:val="nil"/>
            </w:tcBorders>
            <w:shd w:val="clear" w:color="000000" w:fill="CCFFCC"/>
            <w:noWrap/>
            <w:vAlign w:val="bottom"/>
            <w:hideMark/>
          </w:tcPr>
          <w:p w:rsidR="003854D8" w:rsidRDefault="003854D8">
            <w:pPr>
              <w:rPr>
                <w:rFonts w:ascii="Arial" w:hAnsi="Arial" w:cs="Arial"/>
                <w:sz w:val="18"/>
                <w:szCs w:val="18"/>
              </w:rPr>
            </w:pPr>
            <w:r>
              <w:rPr>
                <w:rFonts w:ascii="Arial" w:hAnsi="Arial" w:cs="Arial"/>
                <w:sz w:val="18"/>
                <w:szCs w:val="18"/>
              </w:rPr>
              <w:t> </w:t>
            </w:r>
          </w:p>
        </w:tc>
        <w:tc>
          <w:tcPr>
            <w:tcW w:w="804" w:type="dxa"/>
            <w:gridSpan w:val="2"/>
            <w:tcBorders>
              <w:top w:val="nil"/>
              <w:left w:val="nil"/>
              <w:bottom w:val="single" w:sz="4" w:space="0" w:color="auto"/>
              <w:right w:val="nil"/>
            </w:tcBorders>
            <w:shd w:val="clear" w:color="000000" w:fill="CCFFCC"/>
            <w:noWrap/>
            <w:vAlign w:val="bottom"/>
            <w:hideMark/>
          </w:tcPr>
          <w:p w:rsidR="003854D8" w:rsidRDefault="003854D8">
            <w:pPr>
              <w:rPr>
                <w:rFonts w:ascii="Arial" w:hAnsi="Arial" w:cs="Arial"/>
                <w:sz w:val="18"/>
                <w:szCs w:val="18"/>
              </w:rPr>
            </w:pPr>
            <w:r>
              <w:rPr>
                <w:rFonts w:ascii="Arial" w:hAnsi="Arial" w:cs="Arial"/>
                <w:sz w:val="18"/>
                <w:szCs w:val="18"/>
              </w:rPr>
              <w:t> </w:t>
            </w:r>
          </w:p>
        </w:tc>
        <w:tc>
          <w:tcPr>
            <w:tcW w:w="804" w:type="dxa"/>
            <w:tcBorders>
              <w:top w:val="nil"/>
              <w:left w:val="nil"/>
              <w:bottom w:val="single" w:sz="4" w:space="0" w:color="auto"/>
              <w:right w:val="nil"/>
            </w:tcBorders>
            <w:shd w:val="clear" w:color="000000" w:fill="CCFFCC"/>
            <w:noWrap/>
            <w:vAlign w:val="bottom"/>
            <w:hideMark/>
          </w:tcPr>
          <w:p w:rsidR="003854D8" w:rsidRDefault="003854D8">
            <w:pPr>
              <w:rPr>
                <w:rFonts w:ascii="Arial" w:hAnsi="Arial" w:cs="Arial"/>
                <w:sz w:val="18"/>
                <w:szCs w:val="18"/>
              </w:rPr>
            </w:pPr>
            <w:r>
              <w:rPr>
                <w:rFonts w:ascii="Arial" w:hAnsi="Arial" w:cs="Arial"/>
                <w:sz w:val="18"/>
                <w:szCs w:val="18"/>
              </w:rPr>
              <w:t> </w:t>
            </w:r>
          </w:p>
        </w:tc>
        <w:tc>
          <w:tcPr>
            <w:tcW w:w="1000" w:type="dxa"/>
            <w:gridSpan w:val="2"/>
            <w:tcBorders>
              <w:top w:val="nil"/>
              <w:left w:val="single" w:sz="4" w:space="0" w:color="auto"/>
              <w:bottom w:val="single" w:sz="4" w:space="0" w:color="auto"/>
              <w:right w:val="single" w:sz="4" w:space="0" w:color="auto"/>
            </w:tcBorders>
            <w:shd w:val="clear" w:color="000000" w:fill="CCFFCC"/>
            <w:noWrap/>
            <w:vAlign w:val="bottom"/>
            <w:hideMark/>
          </w:tcPr>
          <w:p w:rsidR="003854D8" w:rsidRDefault="003854D8">
            <w:pPr>
              <w:jc w:val="center"/>
              <w:rPr>
                <w:rFonts w:ascii="Arial" w:hAnsi="Arial" w:cs="Arial"/>
                <w:b/>
                <w:bCs/>
                <w:sz w:val="18"/>
                <w:szCs w:val="18"/>
              </w:rPr>
            </w:pPr>
            <w:r>
              <w:rPr>
                <w:rFonts w:ascii="Arial" w:hAnsi="Arial" w:cs="Arial"/>
                <w:b/>
                <w:bCs/>
                <w:sz w:val="18"/>
                <w:szCs w:val="18"/>
              </w:rPr>
              <w:t>31.08.12</w:t>
            </w:r>
          </w:p>
        </w:tc>
        <w:tc>
          <w:tcPr>
            <w:tcW w:w="1080" w:type="dxa"/>
            <w:gridSpan w:val="2"/>
            <w:tcBorders>
              <w:top w:val="nil"/>
              <w:left w:val="nil"/>
              <w:bottom w:val="single" w:sz="4" w:space="0" w:color="auto"/>
              <w:right w:val="single" w:sz="4" w:space="0" w:color="auto"/>
            </w:tcBorders>
            <w:shd w:val="clear" w:color="000000" w:fill="CCFFCC"/>
            <w:noWrap/>
            <w:vAlign w:val="bottom"/>
            <w:hideMark/>
          </w:tcPr>
          <w:p w:rsidR="003854D8" w:rsidRDefault="003854D8">
            <w:pPr>
              <w:jc w:val="center"/>
              <w:rPr>
                <w:rFonts w:ascii="Arial" w:hAnsi="Arial" w:cs="Arial"/>
                <w:b/>
                <w:bCs/>
                <w:sz w:val="18"/>
                <w:szCs w:val="18"/>
              </w:rPr>
            </w:pPr>
            <w:r>
              <w:rPr>
                <w:rFonts w:ascii="Arial" w:hAnsi="Arial" w:cs="Arial"/>
                <w:b/>
                <w:bCs/>
                <w:sz w:val="18"/>
                <w:szCs w:val="18"/>
              </w:rPr>
              <w:t>31.08.12</w:t>
            </w:r>
          </w:p>
        </w:tc>
        <w:tc>
          <w:tcPr>
            <w:tcW w:w="1000" w:type="dxa"/>
            <w:gridSpan w:val="2"/>
            <w:tcBorders>
              <w:top w:val="nil"/>
              <w:left w:val="nil"/>
              <w:bottom w:val="single" w:sz="4" w:space="0" w:color="auto"/>
              <w:right w:val="single" w:sz="4" w:space="0" w:color="auto"/>
            </w:tcBorders>
            <w:shd w:val="clear" w:color="000000" w:fill="CCFFCC"/>
            <w:noWrap/>
            <w:vAlign w:val="bottom"/>
            <w:hideMark/>
          </w:tcPr>
          <w:p w:rsidR="003854D8" w:rsidRDefault="003854D8">
            <w:pPr>
              <w:jc w:val="center"/>
              <w:rPr>
                <w:rFonts w:ascii="Arial" w:hAnsi="Arial" w:cs="Arial"/>
                <w:b/>
                <w:bCs/>
                <w:sz w:val="18"/>
                <w:szCs w:val="18"/>
              </w:rPr>
            </w:pPr>
            <w:r>
              <w:rPr>
                <w:rFonts w:ascii="Arial" w:hAnsi="Arial" w:cs="Arial"/>
                <w:b/>
                <w:bCs/>
                <w:sz w:val="18"/>
                <w:szCs w:val="18"/>
              </w:rPr>
              <w:t>31.08.12</w:t>
            </w:r>
          </w:p>
        </w:tc>
        <w:tc>
          <w:tcPr>
            <w:tcW w:w="1060" w:type="dxa"/>
            <w:tcBorders>
              <w:top w:val="nil"/>
              <w:left w:val="nil"/>
              <w:bottom w:val="single" w:sz="4" w:space="0" w:color="auto"/>
              <w:right w:val="single" w:sz="4" w:space="0" w:color="auto"/>
            </w:tcBorders>
            <w:shd w:val="clear" w:color="000000" w:fill="CCFFCC"/>
            <w:noWrap/>
            <w:vAlign w:val="bottom"/>
            <w:hideMark/>
          </w:tcPr>
          <w:p w:rsidR="003854D8" w:rsidRDefault="003854D8">
            <w:pPr>
              <w:jc w:val="center"/>
              <w:rPr>
                <w:rFonts w:ascii="Arial" w:hAnsi="Arial" w:cs="Arial"/>
                <w:b/>
                <w:bCs/>
                <w:sz w:val="18"/>
                <w:szCs w:val="18"/>
              </w:rPr>
            </w:pPr>
            <w:r>
              <w:rPr>
                <w:rFonts w:ascii="Arial" w:hAnsi="Arial" w:cs="Arial"/>
                <w:b/>
                <w:bCs/>
                <w:sz w:val="18"/>
                <w:szCs w:val="18"/>
              </w:rPr>
              <w:t>2012</w:t>
            </w:r>
          </w:p>
        </w:tc>
        <w:tc>
          <w:tcPr>
            <w:tcW w:w="1000" w:type="dxa"/>
            <w:gridSpan w:val="3"/>
            <w:tcBorders>
              <w:top w:val="nil"/>
              <w:left w:val="nil"/>
              <w:bottom w:val="single" w:sz="4" w:space="0" w:color="auto"/>
              <w:right w:val="single" w:sz="4" w:space="0" w:color="auto"/>
            </w:tcBorders>
            <w:shd w:val="clear" w:color="000000" w:fill="CCFFCC"/>
            <w:noWrap/>
            <w:vAlign w:val="bottom"/>
            <w:hideMark/>
          </w:tcPr>
          <w:p w:rsidR="003854D8" w:rsidRDefault="003854D8">
            <w:pPr>
              <w:jc w:val="center"/>
              <w:rPr>
                <w:rFonts w:ascii="Arial" w:hAnsi="Arial" w:cs="Arial"/>
                <w:b/>
                <w:bCs/>
                <w:sz w:val="18"/>
                <w:szCs w:val="18"/>
              </w:rPr>
            </w:pPr>
            <w:r>
              <w:rPr>
                <w:rFonts w:ascii="Arial" w:hAnsi="Arial" w:cs="Arial"/>
                <w:b/>
                <w:bCs/>
                <w:sz w:val="18"/>
                <w:szCs w:val="18"/>
              </w:rPr>
              <w:t>31.08.11</w:t>
            </w:r>
          </w:p>
        </w:tc>
      </w:tr>
      <w:tr w:rsidR="003854D8" w:rsidTr="006C217D">
        <w:trPr>
          <w:trHeight w:val="240"/>
        </w:trPr>
        <w:tc>
          <w:tcPr>
            <w:tcW w:w="804" w:type="dxa"/>
            <w:tcBorders>
              <w:top w:val="nil"/>
              <w:left w:val="single" w:sz="4" w:space="0" w:color="auto"/>
              <w:bottom w:val="nil"/>
              <w:right w:val="nil"/>
            </w:tcBorders>
            <w:shd w:val="clear" w:color="auto" w:fill="auto"/>
            <w:noWrap/>
            <w:vAlign w:val="bottom"/>
            <w:hideMark/>
          </w:tcPr>
          <w:p w:rsidR="003854D8" w:rsidRDefault="003854D8">
            <w:pPr>
              <w:rPr>
                <w:rFonts w:ascii="Arial" w:hAnsi="Arial" w:cs="Arial"/>
                <w:sz w:val="18"/>
                <w:szCs w:val="18"/>
              </w:rPr>
            </w:pPr>
            <w:r>
              <w:rPr>
                <w:rFonts w:ascii="Arial" w:hAnsi="Arial" w:cs="Arial"/>
                <w:sz w:val="18"/>
                <w:szCs w:val="18"/>
              </w:rPr>
              <w:t> </w:t>
            </w: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r>
              <w:rPr>
                <w:rFonts w:ascii="Arial" w:hAnsi="Arial" w:cs="Arial"/>
                <w:sz w:val="18"/>
                <w:szCs w:val="18"/>
              </w:rPr>
              <w:t xml:space="preserve"> </w:t>
            </w: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rPr>
                <w:rFonts w:ascii="Arial" w:hAnsi="Arial" w:cs="Arial"/>
                <w:sz w:val="18"/>
                <w:szCs w:val="18"/>
              </w:rPr>
            </w:pPr>
            <w:r>
              <w:rPr>
                <w:rFonts w:ascii="Arial" w:hAnsi="Arial" w:cs="Arial"/>
                <w:sz w:val="18"/>
                <w:szCs w:val="18"/>
              </w:rPr>
              <w:t> </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rPr>
                <w:rFonts w:ascii="Arial" w:hAnsi="Arial" w:cs="Arial"/>
                <w:sz w:val="18"/>
                <w:szCs w:val="18"/>
              </w:rPr>
            </w:pPr>
            <w:r>
              <w:rPr>
                <w:rFonts w:ascii="Arial" w:hAnsi="Arial" w:cs="Arial"/>
                <w:sz w:val="18"/>
                <w:szCs w:val="18"/>
              </w:rPr>
              <w:t> </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rPr>
                <w:rFonts w:ascii="Arial" w:hAnsi="Arial" w:cs="Arial"/>
                <w:sz w:val="18"/>
                <w:szCs w:val="18"/>
              </w:rPr>
            </w:pPr>
            <w:r>
              <w:rPr>
                <w:rFonts w:ascii="Arial" w:hAnsi="Arial" w:cs="Arial"/>
                <w:sz w:val="18"/>
                <w:szCs w:val="18"/>
              </w:rPr>
              <w:t> </w:t>
            </w:r>
          </w:p>
        </w:tc>
        <w:tc>
          <w:tcPr>
            <w:tcW w:w="1060" w:type="dxa"/>
            <w:tcBorders>
              <w:top w:val="nil"/>
              <w:left w:val="nil"/>
              <w:bottom w:val="nil"/>
              <w:right w:val="single" w:sz="4" w:space="0" w:color="auto"/>
            </w:tcBorders>
            <w:shd w:val="clear" w:color="auto" w:fill="auto"/>
            <w:noWrap/>
            <w:vAlign w:val="bottom"/>
            <w:hideMark/>
          </w:tcPr>
          <w:p w:rsidR="003854D8" w:rsidRDefault="003854D8">
            <w:pPr>
              <w:rPr>
                <w:rFonts w:ascii="Arial" w:hAnsi="Arial" w:cs="Arial"/>
                <w:sz w:val="18"/>
                <w:szCs w:val="18"/>
              </w:rPr>
            </w:pPr>
            <w:r>
              <w:rPr>
                <w:rFonts w:ascii="Arial" w:hAnsi="Arial" w:cs="Arial"/>
                <w:sz w:val="18"/>
                <w:szCs w:val="18"/>
              </w:rPr>
              <w:t> </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rPr>
                <w:rFonts w:ascii="Arial" w:hAnsi="Arial" w:cs="Arial"/>
                <w:sz w:val="18"/>
                <w:szCs w:val="18"/>
              </w:rPr>
            </w:pPr>
            <w:r>
              <w:rPr>
                <w:rFonts w:ascii="Arial" w:hAnsi="Arial" w:cs="Arial"/>
                <w:sz w:val="18"/>
                <w:szCs w:val="18"/>
              </w:rPr>
              <w:t> </w:t>
            </w:r>
          </w:p>
        </w:tc>
      </w:tr>
      <w:tr w:rsidR="003854D8" w:rsidTr="006C217D">
        <w:trPr>
          <w:trHeight w:val="240"/>
        </w:trPr>
        <w:tc>
          <w:tcPr>
            <w:tcW w:w="1608" w:type="dxa"/>
            <w:gridSpan w:val="2"/>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Kontingenter</w:t>
            </w: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4 791 194</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4 643 333</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147 861</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6 965 000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4 450 320</w:t>
            </w:r>
          </w:p>
        </w:tc>
      </w:tr>
      <w:tr w:rsidR="003854D8" w:rsidTr="006C217D">
        <w:trPr>
          <w:trHeight w:val="240"/>
        </w:trPr>
        <w:tc>
          <w:tcPr>
            <w:tcW w:w="1608" w:type="dxa"/>
            <w:gridSpan w:val="2"/>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Adm vederlag</w:t>
            </w: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19 206</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120 000</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-100 794</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180 000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36 082</w:t>
            </w:r>
          </w:p>
        </w:tc>
      </w:tr>
      <w:tr w:rsidR="003854D8" w:rsidTr="006C217D">
        <w:trPr>
          <w:trHeight w:val="240"/>
        </w:trPr>
        <w:tc>
          <w:tcPr>
            <w:tcW w:w="1608" w:type="dxa"/>
            <w:gridSpan w:val="2"/>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Refusjon OR</w:t>
            </w: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115 000</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143 333</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-28 333</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215 000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85 417</w:t>
            </w:r>
          </w:p>
        </w:tc>
      </w:tr>
      <w:tr w:rsidR="003854D8" w:rsidTr="006C217D">
        <w:trPr>
          <w:trHeight w:val="240"/>
        </w:trPr>
        <w:tc>
          <w:tcPr>
            <w:tcW w:w="2412" w:type="dxa"/>
            <w:gridSpan w:val="3"/>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Prosjektmidler / PFF</w:t>
            </w: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1 450 000</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1 246 667</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203 333</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1 870 000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620 000</w:t>
            </w:r>
          </w:p>
        </w:tc>
      </w:tr>
      <w:tr w:rsidR="003854D8" w:rsidTr="006C217D">
        <w:trPr>
          <w:trHeight w:val="240"/>
        </w:trPr>
        <w:tc>
          <w:tcPr>
            <w:tcW w:w="1608" w:type="dxa"/>
            <w:gridSpan w:val="2"/>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Møteinntekter</w:t>
            </w: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513 950</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566 667</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-52 717</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850 000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338 389</w:t>
            </w:r>
          </w:p>
        </w:tc>
      </w:tr>
      <w:tr w:rsidR="003854D8" w:rsidTr="006C217D">
        <w:trPr>
          <w:trHeight w:val="240"/>
        </w:trPr>
        <w:tc>
          <w:tcPr>
            <w:tcW w:w="2412" w:type="dxa"/>
            <w:gridSpan w:val="3"/>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Andre inntekter</w:t>
            </w: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1 423</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6 667</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-5 244</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10 000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4 589</w:t>
            </w:r>
          </w:p>
        </w:tc>
      </w:tr>
      <w:tr w:rsidR="003854D8" w:rsidTr="006C217D">
        <w:trPr>
          <w:trHeight w:val="240"/>
        </w:trPr>
        <w:tc>
          <w:tcPr>
            <w:tcW w:w="2412" w:type="dxa"/>
            <w:gridSpan w:val="3"/>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Gevinst avg.anl.midler</w:t>
            </w: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0</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0</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0</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0</w:t>
            </w:r>
          </w:p>
        </w:tc>
      </w:tr>
      <w:tr w:rsidR="003854D8" w:rsidTr="006C217D">
        <w:trPr>
          <w:trHeight w:val="240"/>
        </w:trPr>
        <w:tc>
          <w:tcPr>
            <w:tcW w:w="2412" w:type="dxa"/>
            <w:gridSpan w:val="3"/>
            <w:tcBorders>
              <w:top w:val="single" w:sz="4" w:space="0" w:color="auto"/>
              <w:left w:val="single" w:sz="4" w:space="0" w:color="auto"/>
              <w:bottom w:val="single" w:sz="4" w:space="0" w:color="auto"/>
              <w:right w:val="nil"/>
            </w:tcBorders>
            <w:shd w:val="clear" w:color="auto" w:fill="auto"/>
            <w:noWrap/>
            <w:vAlign w:val="bottom"/>
            <w:hideMark/>
          </w:tcPr>
          <w:p w:rsidR="003854D8" w:rsidRDefault="003854D8">
            <w:pPr>
              <w:rPr>
                <w:rFonts w:ascii="Arial" w:hAnsi="Arial" w:cs="Arial"/>
                <w:b/>
                <w:bCs/>
                <w:sz w:val="18"/>
                <w:szCs w:val="18"/>
              </w:rPr>
            </w:pPr>
            <w:r>
              <w:rPr>
                <w:rFonts w:ascii="Arial" w:hAnsi="Arial" w:cs="Arial"/>
                <w:b/>
                <w:bCs/>
                <w:sz w:val="18"/>
                <w:szCs w:val="18"/>
              </w:rPr>
              <w:t>SUM INNTEKTER</w:t>
            </w:r>
          </w:p>
        </w:tc>
        <w:tc>
          <w:tcPr>
            <w:tcW w:w="804" w:type="dxa"/>
            <w:gridSpan w:val="2"/>
            <w:tcBorders>
              <w:top w:val="single" w:sz="4" w:space="0" w:color="auto"/>
              <w:left w:val="nil"/>
              <w:bottom w:val="single" w:sz="4" w:space="0" w:color="auto"/>
              <w:right w:val="nil"/>
            </w:tcBorders>
            <w:shd w:val="clear" w:color="auto" w:fill="auto"/>
            <w:noWrap/>
            <w:vAlign w:val="bottom"/>
            <w:hideMark/>
          </w:tcPr>
          <w:p w:rsidR="003854D8" w:rsidRDefault="003854D8">
            <w:pPr>
              <w:rPr>
                <w:rFonts w:ascii="Arial" w:hAnsi="Arial" w:cs="Arial"/>
                <w:b/>
                <w:bCs/>
                <w:sz w:val="18"/>
                <w:szCs w:val="18"/>
              </w:rPr>
            </w:pPr>
            <w:r>
              <w:rPr>
                <w:rFonts w:ascii="Arial" w:hAnsi="Arial" w:cs="Arial"/>
                <w:b/>
                <w:bCs/>
                <w:sz w:val="18"/>
                <w:szCs w:val="18"/>
              </w:rPr>
              <w:t> </w:t>
            </w:r>
          </w:p>
        </w:tc>
        <w:tc>
          <w:tcPr>
            <w:tcW w:w="804" w:type="dxa"/>
            <w:tcBorders>
              <w:top w:val="single" w:sz="4" w:space="0" w:color="auto"/>
              <w:left w:val="nil"/>
              <w:bottom w:val="single" w:sz="4" w:space="0" w:color="auto"/>
              <w:right w:val="nil"/>
            </w:tcBorders>
            <w:shd w:val="clear" w:color="auto" w:fill="auto"/>
            <w:noWrap/>
            <w:vAlign w:val="bottom"/>
            <w:hideMark/>
          </w:tcPr>
          <w:p w:rsidR="003854D8" w:rsidRDefault="003854D8">
            <w:pPr>
              <w:rPr>
                <w:rFonts w:ascii="Arial" w:hAnsi="Arial" w:cs="Arial"/>
                <w:b/>
                <w:bCs/>
                <w:sz w:val="18"/>
                <w:szCs w:val="18"/>
              </w:rPr>
            </w:pPr>
            <w:r>
              <w:rPr>
                <w:rFonts w:ascii="Arial" w:hAnsi="Arial" w:cs="Arial"/>
                <w:b/>
                <w:bCs/>
                <w:sz w:val="18"/>
                <w:szCs w:val="18"/>
              </w:rPr>
              <w:t> </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b/>
                <w:bCs/>
                <w:sz w:val="18"/>
                <w:szCs w:val="18"/>
              </w:rPr>
            </w:pPr>
            <w:r>
              <w:rPr>
                <w:rFonts w:ascii="Arial" w:hAnsi="Arial" w:cs="Arial"/>
                <w:b/>
                <w:bCs/>
                <w:sz w:val="18"/>
                <w:szCs w:val="18"/>
              </w:rPr>
              <w:t>6 890 773</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b/>
                <w:bCs/>
                <w:sz w:val="18"/>
                <w:szCs w:val="18"/>
              </w:rPr>
            </w:pPr>
            <w:r>
              <w:rPr>
                <w:rFonts w:ascii="Arial" w:hAnsi="Arial" w:cs="Arial"/>
                <w:b/>
                <w:bCs/>
                <w:sz w:val="18"/>
                <w:szCs w:val="18"/>
              </w:rPr>
              <w:t>6 726 667</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b/>
                <w:bCs/>
                <w:sz w:val="18"/>
                <w:szCs w:val="18"/>
              </w:rPr>
            </w:pPr>
            <w:r>
              <w:rPr>
                <w:rFonts w:ascii="Arial" w:hAnsi="Arial" w:cs="Arial"/>
                <w:b/>
                <w:bCs/>
                <w:sz w:val="18"/>
                <w:szCs w:val="18"/>
              </w:rPr>
              <w:t>164 106</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b/>
                <w:bCs/>
                <w:sz w:val="18"/>
                <w:szCs w:val="18"/>
              </w:rPr>
            </w:pPr>
            <w:r>
              <w:rPr>
                <w:rFonts w:ascii="Arial" w:hAnsi="Arial" w:cs="Arial"/>
                <w:b/>
                <w:bCs/>
                <w:sz w:val="18"/>
                <w:szCs w:val="18"/>
              </w:rPr>
              <w:t>10 090 000</w:t>
            </w:r>
          </w:p>
        </w:tc>
        <w:tc>
          <w:tcPr>
            <w:tcW w:w="1000" w:type="dxa"/>
            <w:gridSpan w:val="3"/>
            <w:tcBorders>
              <w:top w:val="single" w:sz="4" w:space="0" w:color="auto"/>
              <w:left w:val="nil"/>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b/>
                <w:bCs/>
                <w:sz w:val="18"/>
                <w:szCs w:val="18"/>
              </w:rPr>
            </w:pPr>
            <w:r>
              <w:rPr>
                <w:rFonts w:ascii="Arial" w:hAnsi="Arial" w:cs="Arial"/>
                <w:b/>
                <w:bCs/>
                <w:sz w:val="18"/>
                <w:szCs w:val="18"/>
              </w:rPr>
              <w:t>5 534 797</w:t>
            </w:r>
          </w:p>
        </w:tc>
      </w:tr>
      <w:tr w:rsidR="003854D8" w:rsidTr="006C217D">
        <w:trPr>
          <w:trHeight w:val="240"/>
        </w:trPr>
        <w:tc>
          <w:tcPr>
            <w:tcW w:w="804" w:type="dxa"/>
            <w:tcBorders>
              <w:top w:val="nil"/>
              <w:left w:val="single" w:sz="4" w:space="0" w:color="auto"/>
              <w:bottom w:val="nil"/>
              <w:right w:val="nil"/>
            </w:tcBorders>
            <w:shd w:val="clear" w:color="auto" w:fill="auto"/>
            <w:noWrap/>
            <w:vAlign w:val="bottom"/>
            <w:hideMark/>
          </w:tcPr>
          <w:p w:rsidR="003854D8" w:rsidRDefault="003854D8">
            <w:pPr>
              <w:rPr>
                <w:rFonts w:ascii="Arial" w:hAnsi="Arial" w:cs="Arial"/>
                <w:sz w:val="18"/>
                <w:szCs w:val="18"/>
              </w:rPr>
            </w:pPr>
            <w:r>
              <w:rPr>
                <w:rFonts w:ascii="Arial" w:hAnsi="Arial" w:cs="Arial"/>
                <w:sz w:val="18"/>
                <w:szCs w:val="18"/>
              </w:rPr>
              <w:t> </w:t>
            </w: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rPr>
                <w:rFonts w:ascii="Arial" w:hAnsi="Arial" w:cs="Arial"/>
                <w:sz w:val="18"/>
                <w:szCs w:val="18"/>
              </w:rPr>
            </w:pPr>
            <w:r>
              <w:rPr>
                <w:rFonts w:ascii="Arial" w:hAnsi="Arial" w:cs="Arial"/>
                <w:sz w:val="18"/>
                <w:szCs w:val="18"/>
              </w:rPr>
              <w:t> </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rPr>
                <w:rFonts w:ascii="Arial" w:hAnsi="Arial" w:cs="Arial"/>
                <w:sz w:val="18"/>
                <w:szCs w:val="18"/>
              </w:rPr>
            </w:pPr>
            <w:r>
              <w:rPr>
                <w:rFonts w:ascii="Arial" w:hAnsi="Arial" w:cs="Arial"/>
                <w:sz w:val="18"/>
                <w:szCs w:val="18"/>
              </w:rPr>
              <w:t> </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rPr>
                <w:rFonts w:ascii="Arial" w:hAnsi="Arial" w:cs="Arial"/>
                <w:sz w:val="18"/>
                <w:szCs w:val="18"/>
              </w:rPr>
            </w:pPr>
            <w:r>
              <w:rPr>
                <w:rFonts w:ascii="Arial" w:hAnsi="Arial" w:cs="Arial"/>
                <w:sz w:val="18"/>
                <w:szCs w:val="18"/>
              </w:rPr>
              <w:t> </w:t>
            </w:r>
          </w:p>
        </w:tc>
        <w:tc>
          <w:tcPr>
            <w:tcW w:w="1060" w:type="dxa"/>
            <w:tcBorders>
              <w:top w:val="nil"/>
              <w:left w:val="nil"/>
              <w:bottom w:val="nil"/>
              <w:right w:val="single" w:sz="4" w:space="0" w:color="auto"/>
            </w:tcBorders>
            <w:shd w:val="clear" w:color="auto" w:fill="auto"/>
            <w:noWrap/>
            <w:vAlign w:val="bottom"/>
            <w:hideMark/>
          </w:tcPr>
          <w:p w:rsidR="003854D8" w:rsidRDefault="003854D8">
            <w:pPr>
              <w:rPr>
                <w:rFonts w:ascii="Arial" w:hAnsi="Arial" w:cs="Arial"/>
                <w:sz w:val="18"/>
                <w:szCs w:val="18"/>
              </w:rPr>
            </w:pPr>
            <w:r>
              <w:rPr>
                <w:rFonts w:ascii="Arial" w:hAnsi="Arial" w:cs="Arial"/>
                <w:sz w:val="18"/>
                <w:szCs w:val="18"/>
              </w:rPr>
              <w:t> </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rPr>
                <w:rFonts w:ascii="Arial" w:hAnsi="Arial" w:cs="Arial"/>
                <w:sz w:val="18"/>
                <w:szCs w:val="18"/>
              </w:rPr>
            </w:pPr>
            <w:r>
              <w:rPr>
                <w:rFonts w:ascii="Arial" w:hAnsi="Arial" w:cs="Arial"/>
                <w:sz w:val="18"/>
                <w:szCs w:val="18"/>
              </w:rPr>
              <w:t> </w:t>
            </w:r>
          </w:p>
        </w:tc>
      </w:tr>
      <w:tr w:rsidR="003854D8" w:rsidTr="006C217D">
        <w:trPr>
          <w:trHeight w:val="240"/>
        </w:trPr>
        <w:tc>
          <w:tcPr>
            <w:tcW w:w="2412" w:type="dxa"/>
            <w:gridSpan w:val="3"/>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Kontingent NP</w:t>
            </w: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982 000</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982 000</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0</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1 473 000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953 331</w:t>
            </w:r>
          </w:p>
        </w:tc>
      </w:tr>
      <w:tr w:rsidR="003854D8" w:rsidTr="006C217D">
        <w:trPr>
          <w:trHeight w:val="255"/>
        </w:trPr>
        <w:tc>
          <w:tcPr>
            <w:tcW w:w="4020" w:type="dxa"/>
            <w:gridSpan w:val="6"/>
            <w:tcBorders>
              <w:top w:val="nil"/>
              <w:left w:val="single" w:sz="4" w:space="0" w:color="auto"/>
              <w:bottom w:val="nil"/>
              <w:right w:val="single" w:sz="4" w:space="0" w:color="000000"/>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Regionkontingenter</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1 143 000</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740 000</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403 000</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1 110 000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761 000</w:t>
            </w:r>
          </w:p>
        </w:tc>
      </w:tr>
      <w:tr w:rsidR="003854D8" w:rsidTr="006C217D">
        <w:trPr>
          <w:trHeight w:val="240"/>
        </w:trPr>
        <w:tc>
          <w:tcPr>
            <w:tcW w:w="2412" w:type="dxa"/>
            <w:gridSpan w:val="3"/>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Pensjonistkontingenter</w:t>
            </w: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0</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20 000</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-20 000</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30 000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0</w:t>
            </w:r>
          </w:p>
        </w:tc>
      </w:tr>
      <w:tr w:rsidR="003854D8" w:rsidTr="006C217D">
        <w:trPr>
          <w:trHeight w:val="240"/>
        </w:trPr>
        <w:tc>
          <w:tcPr>
            <w:tcW w:w="2412" w:type="dxa"/>
            <w:gridSpan w:val="3"/>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NJ felleskasser</w:t>
            </w: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0</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10 667</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-10 667</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16 000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0</w:t>
            </w:r>
          </w:p>
        </w:tc>
      </w:tr>
      <w:tr w:rsidR="003854D8" w:rsidTr="006C217D">
        <w:trPr>
          <w:trHeight w:val="240"/>
        </w:trPr>
        <w:tc>
          <w:tcPr>
            <w:tcW w:w="2412" w:type="dxa"/>
            <w:gridSpan w:val="3"/>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Tiltak i handlingsplanen</w:t>
            </w: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294 157</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200 000</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94 157</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300 000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580</w:t>
            </w:r>
          </w:p>
        </w:tc>
      </w:tr>
      <w:tr w:rsidR="003854D8" w:rsidTr="006C217D">
        <w:trPr>
          <w:trHeight w:val="240"/>
        </w:trPr>
        <w:tc>
          <w:tcPr>
            <w:tcW w:w="2412" w:type="dxa"/>
            <w:gridSpan w:val="3"/>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Kostnader vårmøte</w:t>
            </w: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167 993</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300 000</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-132 007</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450 000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433 133</w:t>
            </w:r>
          </w:p>
        </w:tc>
      </w:tr>
      <w:tr w:rsidR="003854D8" w:rsidTr="006C217D">
        <w:trPr>
          <w:trHeight w:val="240"/>
        </w:trPr>
        <w:tc>
          <w:tcPr>
            <w:tcW w:w="2412" w:type="dxa"/>
            <w:gridSpan w:val="3"/>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Kostnader høstmøte</w:t>
            </w: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0</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166 667</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-166 667</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250 000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0</w:t>
            </w:r>
          </w:p>
        </w:tc>
      </w:tr>
      <w:tr w:rsidR="003854D8" w:rsidTr="006C217D">
        <w:trPr>
          <w:trHeight w:val="240"/>
        </w:trPr>
        <w:tc>
          <w:tcPr>
            <w:tcW w:w="2412" w:type="dxa"/>
            <w:gridSpan w:val="3"/>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Kostnader andre møter</w:t>
            </w: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203 181</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233 333</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-30 152</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350 000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124 442</w:t>
            </w:r>
          </w:p>
        </w:tc>
      </w:tr>
      <w:tr w:rsidR="003854D8" w:rsidTr="006C217D">
        <w:trPr>
          <w:trHeight w:val="240"/>
        </w:trPr>
        <w:tc>
          <w:tcPr>
            <w:tcW w:w="2412" w:type="dxa"/>
            <w:gridSpan w:val="3"/>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Honorar u/trekk</w:t>
            </w: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475 313</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466 667</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8 646</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700 000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1 313</w:t>
            </w:r>
          </w:p>
        </w:tc>
      </w:tr>
      <w:tr w:rsidR="003854D8" w:rsidTr="006C217D">
        <w:trPr>
          <w:trHeight w:val="240"/>
        </w:trPr>
        <w:tc>
          <w:tcPr>
            <w:tcW w:w="2412" w:type="dxa"/>
            <w:gridSpan w:val="3"/>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Diverse kostnader</w:t>
            </w: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0</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6 667</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-6 667</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10 000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0</w:t>
            </w:r>
          </w:p>
        </w:tc>
      </w:tr>
      <w:tr w:rsidR="003854D8" w:rsidTr="006C217D">
        <w:trPr>
          <w:trHeight w:val="240"/>
        </w:trPr>
        <w:tc>
          <w:tcPr>
            <w:tcW w:w="1608" w:type="dxa"/>
            <w:gridSpan w:val="2"/>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Pressekort</w:t>
            </w: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6 746</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10 000</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-3 254</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15 000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7 208</w:t>
            </w:r>
          </w:p>
        </w:tc>
      </w:tr>
      <w:tr w:rsidR="003854D8" w:rsidTr="006C217D">
        <w:trPr>
          <w:trHeight w:val="240"/>
        </w:trPr>
        <w:tc>
          <w:tcPr>
            <w:tcW w:w="2412" w:type="dxa"/>
            <w:gridSpan w:val="3"/>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Prosjekter og utredninger</w:t>
            </w: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r>
              <w:rPr>
                <w:rFonts w:ascii="Arial" w:hAnsi="Arial" w:cs="Arial"/>
                <w:sz w:val="18"/>
                <w:szCs w:val="18"/>
              </w:rPr>
              <w:t xml:space="preserve"> </w:t>
            </w: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98 420</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133 333</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-34 913</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200 000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30 663</w:t>
            </w:r>
          </w:p>
        </w:tc>
      </w:tr>
      <w:tr w:rsidR="003854D8" w:rsidTr="006C217D">
        <w:trPr>
          <w:trHeight w:val="240"/>
        </w:trPr>
        <w:tc>
          <w:tcPr>
            <w:tcW w:w="2412" w:type="dxa"/>
            <w:gridSpan w:val="3"/>
            <w:tcBorders>
              <w:top w:val="single" w:sz="4" w:space="0" w:color="auto"/>
              <w:left w:val="single" w:sz="4" w:space="0" w:color="auto"/>
              <w:bottom w:val="single" w:sz="4" w:space="0" w:color="auto"/>
              <w:right w:val="nil"/>
            </w:tcBorders>
            <w:shd w:val="clear" w:color="auto" w:fill="auto"/>
            <w:noWrap/>
            <w:vAlign w:val="bottom"/>
            <w:hideMark/>
          </w:tcPr>
          <w:p w:rsidR="003854D8" w:rsidRDefault="003854D8">
            <w:pPr>
              <w:rPr>
                <w:rFonts w:ascii="Arial" w:hAnsi="Arial" w:cs="Arial"/>
                <w:b/>
                <w:bCs/>
                <w:sz w:val="18"/>
                <w:szCs w:val="18"/>
              </w:rPr>
            </w:pPr>
            <w:r>
              <w:rPr>
                <w:rFonts w:ascii="Arial" w:hAnsi="Arial" w:cs="Arial"/>
                <w:b/>
                <w:bCs/>
                <w:sz w:val="18"/>
                <w:szCs w:val="18"/>
              </w:rPr>
              <w:t>Sum prosjektkostnader</w:t>
            </w:r>
          </w:p>
        </w:tc>
        <w:tc>
          <w:tcPr>
            <w:tcW w:w="804" w:type="dxa"/>
            <w:gridSpan w:val="2"/>
            <w:tcBorders>
              <w:top w:val="single" w:sz="4" w:space="0" w:color="auto"/>
              <w:left w:val="nil"/>
              <w:bottom w:val="single" w:sz="4" w:space="0" w:color="auto"/>
              <w:right w:val="nil"/>
            </w:tcBorders>
            <w:shd w:val="clear" w:color="auto" w:fill="auto"/>
            <w:noWrap/>
            <w:vAlign w:val="bottom"/>
            <w:hideMark/>
          </w:tcPr>
          <w:p w:rsidR="003854D8" w:rsidRDefault="003854D8">
            <w:pPr>
              <w:rPr>
                <w:rFonts w:ascii="Arial" w:hAnsi="Arial" w:cs="Arial"/>
                <w:b/>
                <w:bCs/>
                <w:sz w:val="18"/>
                <w:szCs w:val="18"/>
              </w:rPr>
            </w:pPr>
            <w:r>
              <w:rPr>
                <w:rFonts w:ascii="Arial" w:hAnsi="Arial" w:cs="Arial"/>
                <w:b/>
                <w:bCs/>
                <w:sz w:val="18"/>
                <w:szCs w:val="18"/>
              </w:rPr>
              <w:t> </w:t>
            </w:r>
          </w:p>
        </w:tc>
        <w:tc>
          <w:tcPr>
            <w:tcW w:w="804" w:type="dxa"/>
            <w:tcBorders>
              <w:top w:val="single" w:sz="4" w:space="0" w:color="auto"/>
              <w:left w:val="nil"/>
              <w:bottom w:val="single" w:sz="4" w:space="0" w:color="auto"/>
              <w:right w:val="nil"/>
            </w:tcBorders>
            <w:shd w:val="clear" w:color="auto" w:fill="auto"/>
            <w:noWrap/>
            <w:vAlign w:val="bottom"/>
            <w:hideMark/>
          </w:tcPr>
          <w:p w:rsidR="003854D8" w:rsidRDefault="003854D8">
            <w:pPr>
              <w:rPr>
                <w:rFonts w:ascii="Arial" w:hAnsi="Arial" w:cs="Arial"/>
                <w:b/>
                <w:bCs/>
                <w:sz w:val="18"/>
                <w:szCs w:val="18"/>
              </w:rPr>
            </w:pPr>
            <w:r>
              <w:rPr>
                <w:rFonts w:ascii="Arial" w:hAnsi="Arial" w:cs="Arial"/>
                <w:b/>
                <w:bCs/>
                <w:sz w:val="18"/>
                <w:szCs w:val="18"/>
              </w:rPr>
              <w:t> </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b/>
                <w:bCs/>
                <w:sz w:val="18"/>
                <w:szCs w:val="18"/>
              </w:rPr>
            </w:pPr>
            <w:r>
              <w:rPr>
                <w:rFonts w:ascii="Arial" w:hAnsi="Arial" w:cs="Arial"/>
                <w:b/>
                <w:bCs/>
                <w:sz w:val="18"/>
                <w:szCs w:val="18"/>
              </w:rPr>
              <w:t>3 370 810</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b/>
                <w:bCs/>
                <w:sz w:val="18"/>
                <w:szCs w:val="18"/>
              </w:rPr>
            </w:pPr>
            <w:r>
              <w:rPr>
                <w:rFonts w:ascii="Arial" w:hAnsi="Arial" w:cs="Arial"/>
                <w:b/>
                <w:bCs/>
                <w:sz w:val="18"/>
                <w:szCs w:val="18"/>
              </w:rPr>
              <w:t>3 269 333</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b/>
                <w:bCs/>
                <w:sz w:val="18"/>
                <w:szCs w:val="18"/>
              </w:rPr>
            </w:pPr>
            <w:r>
              <w:rPr>
                <w:rFonts w:ascii="Arial" w:hAnsi="Arial" w:cs="Arial"/>
                <w:b/>
                <w:bCs/>
                <w:sz w:val="18"/>
                <w:szCs w:val="18"/>
              </w:rPr>
              <w:t>101 477</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b/>
                <w:bCs/>
                <w:sz w:val="18"/>
                <w:szCs w:val="18"/>
              </w:rPr>
            </w:pPr>
            <w:r>
              <w:rPr>
                <w:rFonts w:ascii="Arial" w:hAnsi="Arial" w:cs="Arial"/>
                <w:b/>
                <w:bCs/>
                <w:sz w:val="18"/>
                <w:szCs w:val="18"/>
              </w:rPr>
              <w:t>4 904 000</w:t>
            </w:r>
          </w:p>
        </w:tc>
        <w:tc>
          <w:tcPr>
            <w:tcW w:w="1000" w:type="dxa"/>
            <w:gridSpan w:val="3"/>
            <w:tcBorders>
              <w:top w:val="single" w:sz="4" w:space="0" w:color="auto"/>
              <w:left w:val="nil"/>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b/>
                <w:bCs/>
                <w:sz w:val="18"/>
                <w:szCs w:val="18"/>
              </w:rPr>
            </w:pPr>
            <w:r>
              <w:rPr>
                <w:rFonts w:ascii="Arial" w:hAnsi="Arial" w:cs="Arial"/>
                <w:b/>
                <w:bCs/>
                <w:sz w:val="18"/>
                <w:szCs w:val="18"/>
              </w:rPr>
              <w:t>2 311 670</w:t>
            </w:r>
          </w:p>
        </w:tc>
      </w:tr>
      <w:tr w:rsidR="003854D8" w:rsidTr="006C217D">
        <w:trPr>
          <w:trHeight w:val="240"/>
        </w:trPr>
        <w:tc>
          <w:tcPr>
            <w:tcW w:w="804" w:type="dxa"/>
            <w:tcBorders>
              <w:top w:val="nil"/>
              <w:left w:val="single" w:sz="4" w:space="0" w:color="auto"/>
              <w:bottom w:val="nil"/>
              <w:right w:val="nil"/>
            </w:tcBorders>
            <w:shd w:val="clear" w:color="auto" w:fill="auto"/>
            <w:noWrap/>
            <w:vAlign w:val="bottom"/>
            <w:hideMark/>
          </w:tcPr>
          <w:p w:rsidR="003854D8" w:rsidRDefault="003854D8">
            <w:pPr>
              <w:rPr>
                <w:rFonts w:ascii="Arial" w:hAnsi="Arial" w:cs="Arial"/>
                <w:b/>
                <w:bCs/>
                <w:sz w:val="18"/>
                <w:szCs w:val="18"/>
              </w:rPr>
            </w:pPr>
            <w:r>
              <w:rPr>
                <w:rFonts w:ascii="Arial" w:hAnsi="Arial" w:cs="Arial"/>
                <w:b/>
                <w:bCs/>
                <w:sz w:val="18"/>
                <w:szCs w:val="18"/>
              </w:rPr>
              <w:t> </w:t>
            </w: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b/>
                <w:bCs/>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b/>
                <w:bCs/>
                <w:sz w:val="18"/>
                <w:szCs w:val="18"/>
              </w:rPr>
            </w:pP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b/>
                <w:bCs/>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b/>
                <w:bCs/>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rPr>
                <w:rFonts w:ascii="Arial" w:hAnsi="Arial" w:cs="Arial"/>
                <w:b/>
                <w:bCs/>
                <w:sz w:val="18"/>
                <w:szCs w:val="18"/>
              </w:rPr>
            </w:pPr>
            <w:r>
              <w:rPr>
                <w:rFonts w:ascii="Arial" w:hAnsi="Arial" w:cs="Arial"/>
                <w:b/>
                <w:bCs/>
                <w:sz w:val="18"/>
                <w:szCs w:val="18"/>
              </w:rPr>
              <w:t> </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rPr>
                <w:rFonts w:ascii="Arial" w:hAnsi="Arial" w:cs="Arial"/>
                <w:b/>
                <w:bCs/>
                <w:sz w:val="18"/>
                <w:szCs w:val="18"/>
              </w:rPr>
            </w:pPr>
            <w:r>
              <w:rPr>
                <w:rFonts w:ascii="Arial" w:hAnsi="Arial" w:cs="Arial"/>
                <w:b/>
                <w:bCs/>
                <w:sz w:val="18"/>
                <w:szCs w:val="18"/>
              </w:rPr>
              <w:t> </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rPr>
                <w:rFonts w:ascii="Arial" w:hAnsi="Arial" w:cs="Arial"/>
                <w:b/>
                <w:bCs/>
                <w:sz w:val="18"/>
                <w:szCs w:val="18"/>
              </w:rPr>
            </w:pPr>
            <w:r>
              <w:rPr>
                <w:rFonts w:ascii="Arial" w:hAnsi="Arial" w:cs="Arial"/>
                <w:b/>
                <w:bCs/>
                <w:sz w:val="18"/>
                <w:szCs w:val="18"/>
              </w:rPr>
              <w:t> </w:t>
            </w:r>
          </w:p>
        </w:tc>
        <w:tc>
          <w:tcPr>
            <w:tcW w:w="1060" w:type="dxa"/>
            <w:tcBorders>
              <w:top w:val="nil"/>
              <w:left w:val="nil"/>
              <w:bottom w:val="nil"/>
              <w:right w:val="single" w:sz="4" w:space="0" w:color="auto"/>
            </w:tcBorders>
            <w:shd w:val="clear" w:color="auto" w:fill="auto"/>
            <w:noWrap/>
            <w:vAlign w:val="bottom"/>
            <w:hideMark/>
          </w:tcPr>
          <w:p w:rsidR="003854D8" w:rsidRDefault="003854D8">
            <w:pPr>
              <w:rPr>
                <w:rFonts w:ascii="Arial" w:hAnsi="Arial" w:cs="Arial"/>
                <w:b/>
                <w:bCs/>
                <w:sz w:val="18"/>
                <w:szCs w:val="18"/>
              </w:rPr>
            </w:pPr>
            <w:r>
              <w:rPr>
                <w:rFonts w:ascii="Arial" w:hAnsi="Arial" w:cs="Arial"/>
                <w:b/>
                <w:bCs/>
                <w:sz w:val="18"/>
                <w:szCs w:val="18"/>
              </w:rPr>
              <w:t> </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rPr>
                <w:rFonts w:ascii="Arial" w:hAnsi="Arial" w:cs="Arial"/>
                <w:b/>
                <w:bCs/>
                <w:sz w:val="18"/>
                <w:szCs w:val="18"/>
              </w:rPr>
            </w:pPr>
            <w:r>
              <w:rPr>
                <w:rFonts w:ascii="Arial" w:hAnsi="Arial" w:cs="Arial"/>
                <w:b/>
                <w:bCs/>
                <w:sz w:val="18"/>
                <w:szCs w:val="18"/>
              </w:rPr>
              <w:t> </w:t>
            </w:r>
          </w:p>
        </w:tc>
      </w:tr>
      <w:tr w:rsidR="003854D8" w:rsidTr="006C217D">
        <w:trPr>
          <w:trHeight w:val="240"/>
        </w:trPr>
        <w:tc>
          <w:tcPr>
            <w:tcW w:w="2412" w:type="dxa"/>
            <w:gridSpan w:val="3"/>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Lønnskostnader</w:t>
            </w: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1 579 008</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1 690 000</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-110 992</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2 535 000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1 552 464</w:t>
            </w:r>
          </w:p>
        </w:tc>
      </w:tr>
      <w:tr w:rsidR="003854D8" w:rsidTr="006C217D">
        <w:trPr>
          <w:trHeight w:val="240"/>
        </w:trPr>
        <w:tc>
          <w:tcPr>
            <w:tcW w:w="2412" w:type="dxa"/>
            <w:gridSpan w:val="3"/>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Andre lønnskostnader</w:t>
            </w: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621 732</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600 000</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21 732</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900 000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609 469</w:t>
            </w:r>
          </w:p>
        </w:tc>
      </w:tr>
      <w:tr w:rsidR="003854D8" w:rsidTr="006C217D">
        <w:trPr>
          <w:trHeight w:val="240"/>
        </w:trPr>
        <w:tc>
          <w:tcPr>
            <w:tcW w:w="2412" w:type="dxa"/>
            <w:gridSpan w:val="3"/>
            <w:tcBorders>
              <w:top w:val="nil"/>
              <w:left w:val="nil"/>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Andre personalkostnader</w:t>
            </w: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nil"/>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38 740</w:t>
            </w:r>
          </w:p>
        </w:tc>
        <w:tc>
          <w:tcPr>
            <w:tcW w:w="1080" w:type="dxa"/>
            <w:gridSpan w:val="2"/>
            <w:tcBorders>
              <w:top w:val="nil"/>
              <w:left w:val="single" w:sz="4" w:space="0" w:color="auto"/>
              <w:bottom w:val="nil"/>
              <w:right w:val="nil"/>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53 333</w:t>
            </w:r>
          </w:p>
        </w:tc>
        <w:tc>
          <w:tcPr>
            <w:tcW w:w="1000" w:type="dxa"/>
            <w:gridSpan w:val="2"/>
            <w:tcBorders>
              <w:top w:val="nil"/>
              <w:left w:val="single" w:sz="4" w:space="0" w:color="auto"/>
              <w:bottom w:val="nil"/>
              <w:right w:val="nil"/>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-14 593</w:t>
            </w:r>
          </w:p>
        </w:tc>
        <w:tc>
          <w:tcPr>
            <w:tcW w:w="1060" w:type="dxa"/>
            <w:tcBorders>
              <w:top w:val="nil"/>
              <w:left w:val="single" w:sz="4" w:space="0" w:color="auto"/>
              <w:bottom w:val="nil"/>
              <w:right w:val="nil"/>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80 000</w:t>
            </w:r>
          </w:p>
        </w:tc>
        <w:tc>
          <w:tcPr>
            <w:tcW w:w="1000" w:type="dxa"/>
            <w:gridSpan w:val="3"/>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43 122</w:t>
            </w:r>
          </w:p>
        </w:tc>
      </w:tr>
      <w:tr w:rsidR="003854D8" w:rsidTr="006C217D">
        <w:trPr>
          <w:trHeight w:val="240"/>
        </w:trPr>
        <w:tc>
          <w:tcPr>
            <w:tcW w:w="4020" w:type="dxa"/>
            <w:gridSpan w:val="6"/>
            <w:tcBorders>
              <w:top w:val="nil"/>
              <w:left w:val="single" w:sz="4" w:space="0" w:color="auto"/>
              <w:bottom w:val="single" w:sz="4" w:space="0" w:color="auto"/>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Refunderte administrasjonskostnader</w:t>
            </w:r>
          </w:p>
        </w:tc>
        <w:tc>
          <w:tcPr>
            <w:tcW w:w="1000" w:type="dxa"/>
            <w:gridSpan w:val="2"/>
            <w:tcBorders>
              <w:top w:val="nil"/>
              <w:left w:val="single" w:sz="4" w:space="0" w:color="auto"/>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-200 640</w:t>
            </w:r>
          </w:p>
        </w:tc>
        <w:tc>
          <w:tcPr>
            <w:tcW w:w="1080" w:type="dxa"/>
            <w:gridSpan w:val="2"/>
            <w:tcBorders>
              <w:top w:val="nil"/>
              <w:left w:val="nil"/>
              <w:bottom w:val="nil"/>
              <w:right w:val="nil"/>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-338 667</w:t>
            </w:r>
          </w:p>
        </w:tc>
        <w:tc>
          <w:tcPr>
            <w:tcW w:w="1000" w:type="dxa"/>
            <w:gridSpan w:val="2"/>
            <w:tcBorders>
              <w:top w:val="nil"/>
              <w:left w:val="single" w:sz="4" w:space="0" w:color="auto"/>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138 027</w:t>
            </w:r>
          </w:p>
        </w:tc>
        <w:tc>
          <w:tcPr>
            <w:tcW w:w="1060" w:type="dxa"/>
            <w:tcBorders>
              <w:top w:val="nil"/>
              <w:left w:val="nil"/>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-508 000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-196 140</w:t>
            </w:r>
          </w:p>
        </w:tc>
      </w:tr>
      <w:tr w:rsidR="003854D8" w:rsidTr="006C217D">
        <w:trPr>
          <w:trHeight w:val="240"/>
        </w:trPr>
        <w:tc>
          <w:tcPr>
            <w:tcW w:w="2412" w:type="dxa"/>
            <w:gridSpan w:val="3"/>
            <w:tcBorders>
              <w:top w:val="single" w:sz="4" w:space="0" w:color="auto"/>
              <w:left w:val="single" w:sz="4" w:space="0" w:color="auto"/>
              <w:bottom w:val="single" w:sz="4" w:space="0" w:color="auto"/>
              <w:right w:val="nil"/>
            </w:tcBorders>
            <w:shd w:val="clear" w:color="auto" w:fill="auto"/>
            <w:noWrap/>
            <w:vAlign w:val="bottom"/>
            <w:hideMark/>
          </w:tcPr>
          <w:p w:rsidR="003854D8" w:rsidRDefault="003854D8">
            <w:pPr>
              <w:rPr>
                <w:rFonts w:ascii="Arial" w:hAnsi="Arial" w:cs="Arial"/>
                <w:b/>
                <w:bCs/>
                <w:sz w:val="18"/>
                <w:szCs w:val="18"/>
              </w:rPr>
            </w:pPr>
            <w:r>
              <w:rPr>
                <w:rFonts w:ascii="Arial" w:hAnsi="Arial" w:cs="Arial"/>
                <w:b/>
                <w:bCs/>
                <w:sz w:val="18"/>
                <w:szCs w:val="18"/>
              </w:rPr>
              <w:t>Sum personalkostnader</w:t>
            </w:r>
          </w:p>
        </w:tc>
        <w:tc>
          <w:tcPr>
            <w:tcW w:w="804" w:type="dxa"/>
            <w:gridSpan w:val="2"/>
            <w:tcBorders>
              <w:top w:val="nil"/>
              <w:left w:val="nil"/>
              <w:bottom w:val="single" w:sz="4" w:space="0" w:color="auto"/>
              <w:right w:val="nil"/>
            </w:tcBorders>
            <w:shd w:val="clear" w:color="auto" w:fill="auto"/>
            <w:noWrap/>
            <w:vAlign w:val="bottom"/>
            <w:hideMark/>
          </w:tcPr>
          <w:p w:rsidR="003854D8" w:rsidRDefault="003854D8">
            <w:pPr>
              <w:rPr>
                <w:rFonts w:ascii="Arial" w:hAnsi="Arial" w:cs="Arial"/>
                <w:b/>
                <w:bCs/>
                <w:sz w:val="18"/>
                <w:szCs w:val="18"/>
              </w:rPr>
            </w:pPr>
            <w:r>
              <w:rPr>
                <w:rFonts w:ascii="Arial" w:hAnsi="Arial" w:cs="Arial"/>
                <w:b/>
                <w:bCs/>
                <w:sz w:val="18"/>
                <w:szCs w:val="18"/>
              </w:rPr>
              <w:t> </w:t>
            </w:r>
          </w:p>
        </w:tc>
        <w:tc>
          <w:tcPr>
            <w:tcW w:w="804" w:type="dxa"/>
            <w:tcBorders>
              <w:top w:val="nil"/>
              <w:left w:val="nil"/>
              <w:bottom w:val="single" w:sz="4" w:space="0" w:color="auto"/>
              <w:right w:val="nil"/>
            </w:tcBorders>
            <w:shd w:val="clear" w:color="auto" w:fill="auto"/>
            <w:noWrap/>
            <w:vAlign w:val="bottom"/>
            <w:hideMark/>
          </w:tcPr>
          <w:p w:rsidR="003854D8" w:rsidRDefault="003854D8">
            <w:pPr>
              <w:rPr>
                <w:rFonts w:ascii="Arial" w:hAnsi="Arial" w:cs="Arial"/>
                <w:b/>
                <w:bCs/>
                <w:sz w:val="18"/>
                <w:szCs w:val="18"/>
              </w:rPr>
            </w:pPr>
            <w:r>
              <w:rPr>
                <w:rFonts w:ascii="Arial" w:hAnsi="Arial" w:cs="Arial"/>
                <w:b/>
                <w:bCs/>
                <w:sz w:val="18"/>
                <w:szCs w:val="18"/>
              </w:rPr>
              <w:t> </w:t>
            </w:r>
          </w:p>
        </w:tc>
        <w:tc>
          <w:tcPr>
            <w:tcW w:w="1000" w:type="dxa"/>
            <w:gridSpan w:val="2"/>
            <w:tcBorders>
              <w:top w:val="nil"/>
              <w:left w:val="single" w:sz="4" w:space="0" w:color="auto"/>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b/>
                <w:bCs/>
                <w:sz w:val="18"/>
                <w:szCs w:val="18"/>
              </w:rPr>
            </w:pPr>
            <w:r>
              <w:rPr>
                <w:rFonts w:ascii="Arial" w:hAnsi="Arial" w:cs="Arial"/>
                <w:b/>
                <w:bCs/>
                <w:sz w:val="18"/>
                <w:szCs w:val="18"/>
              </w:rPr>
              <w:t>2 038 840</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b/>
                <w:bCs/>
                <w:sz w:val="18"/>
                <w:szCs w:val="18"/>
              </w:rPr>
            </w:pPr>
            <w:r>
              <w:rPr>
                <w:rFonts w:ascii="Arial" w:hAnsi="Arial" w:cs="Arial"/>
                <w:b/>
                <w:bCs/>
                <w:sz w:val="18"/>
                <w:szCs w:val="18"/>
              </w:rPr>
              <w:t>2 004 667</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b/>
                <w:bCs/>
                <w:sz w:val="18"/>
                <w:szCs w:val="18"/>
              </w:rPr>
            </w:pPr>
            <w:r>
              <w:rPr>
                <w:rFonts w:ascii="Arial" w:hAnsi="Arial" w:cs="Arial"/>
                <w:b/>
                <w:bCs/>
                <w:sz w:val="18"/>
                <w:szCs w:val="18"/>
              </w:rPr>
              <w:t>34 173</w:t>
            </w:r>
          </w:p>
        </w:tc>
        <w:tc>
          <w:tcPr>
            <w:tcW w:w="1060" w:type="dxa"/>
            <w:tcBorders>
              <w:top w:val="nil"/>
              <w:left w:val="nil"/>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b/>
                <w:bCs/>
                <w:sz w:val="18"/>
                <w:szCs w:val="18"/>
              </w:rPr>
            </w:pPr>
            <w:r>
              <w:rPr>
                <w:rFonts w:ascii="Arial" w:hAnsi="Arial" w:cs="Arial"/>
                <w:b/>
                <w:bCs/>
                <w:sz w:val="18"/>
                <w:szCs w:val="18"/>
              </w:rPr>
              <w:t>3 007 000</w:t>
            </w:r>
          </w:p>
        </w:tc>
        <w:tc>
          <w:tcPr>
            <w:tcW w:w="1000" w:type="dxa"/>
            <w:gridSpan w:val="3"/>
            <w:tcBorders>
              <w:top w:val="single" w:sz="4" w:space="0" w:color="auto"/>
              <w:left w:val="nil"/>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b/>
                <w:bCs/>
                <w:sz w:val="18"/>
                <w:szCs w:val="18"/>
              </w:rPr>
            </w:pPr>
            <w:r>
              <w:rPr>
                <w:rFonts w:ascii="Arial" w:hAnsi="Arial" w:cs="Arial"/>
                <w:b/>
                <w:bCs/>
                <w:sz w:val="18"/>
                <w:szCs w:val="18"/>
              </w:rPr>
              <w:t>2 008 915</w:t>
            </w:r>
          </w:p>
        </w:tc>
      </w:tr>
      <w:tr w:rsidR="003854D8" w:rsidTr="006C217D">
        <w:trPr>
          <w:trHeight w:val="240"/>
        </w:trPr>
        <w:tc>
          <w:tcPr>
            <w:tcW w:w="1608" w:type="dxa"/>
            <w:gridSpan w:val="2"/>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Avskrivninger</w:t>
            </w: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146 359</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133 333</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13 026</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200 000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114 552</w:t>
            </w:r>
          </w:p>
        </w:tc>
      </w:tr>
      <w:tr w:rsidR="003854D8" w:rsidTr="006C217D">
        <w:trPr>
          <w:trHeight w:val="240"/>
        </w:trPr>
        <w:tc>
          <w:tcPr>
            <w:tcW w:w="2412" w:type="dxa"/>
            <w:gridSpan w:val="3"/>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Kostnader lokaler</w:t>
            </w: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409 635</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440 000</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-30 365</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660 000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425 394</w:t>
            </w:r>
          </w:p>
        </w:tc>
      </w:tr>
      <w:tr w:rsidR="003854D8" w:rsidTr="006C217D">
        <w:trPr>
          <w:trHeight w:val="240"/>
        </w:trPr>
        <w:tc>
          <w:tcPr>
            <w:tcW w:w="2412" w:type="dxa"/>
            <w:gridSpan w:val="3"/>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Inventar / vedlikehold</w:t>
            </w: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19 669</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33 333</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-13 664</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50 000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19 606</w:t>
            </w:r>
          </w:p>
        </w:tc>
      </w:tr>
      <w:tr w:rsidR="003854D8" w:rsidTr="006C217D">
        <w:trPr>
          <w:trHeight w:val="240"/>
        </w:trPr>
        <w:tc>
          <w:tcPr>
            <w:tcW w:w="2412" w:type="dxa"/>
            <w:gridSpan w:val="3"/>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Fremmede tjenester</w:t>
            </w: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127 908</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160 000</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-32 092</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240 000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124 552</w:t>
            </w:r>
          </w:p>
        </w:tc>
      </w:tr>
      <w:tr w:rsidR="003854D8" w:rsidTr="006C217D">
        <w:trPr>
          <w:trHeight w:val="240"/>
        </w:trPr>
        <w:tc>
          <w:tcPr>
            <w:tcW w:w="2412" w:type="dxa"/>
            <w:gridSpan w:val="3"/>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Kontorkostnader</w:t>
            </w: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180 932</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226 667</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-45 735</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340 000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243 462</w:t>
            </w:r>
          </w:p>
        </w:tc>
      </w:tr>
      <w:tr w:rsidR="003854D8" w:rsidTr="006C217D">
        <w:trPr>
          <w:trHeight w:val="240"/>
        </w:trPr>
        <w:tc>
          <w:tcPr>
            <w:tcW w:w="2412" w:type="dxa"/>
            <w:gridSpan w:val="3"/>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Aviser og fagliteratur</w:t>
            </w: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72 415</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46 667</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25 748</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70 000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41 327</w:t>
            </w:r>
          </w:p>
        </w:tc>
      </w:tr>
      <w:tr w:rsidR="003854D8" w:rsidTr="006C217D">
        <w:trPr>
          <w:trHeight w:val="240"/>
        </w:trPr>
        <w:tc>
          <w:tcPr>
            <w:tcW w:w="2412" w:type="dxa"/>
            <w:gridSpan w:val="3"/>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Telekostnader</w:t>
            </w: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53 566</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70 000</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-16 434</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105 000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47 155</w:t>
            </w:r>
          </w:p>
        </w:tc>
      </w:tr>
      <w:tr w:rsidR="003854D8" w:rsidTr="006C217D">
        <w:trPr>
          <w:trHeight w:val="240"/>
        </w:trPr>
        <w:tc>
          <w:tcPr>
            <w:tcW w:w="1608" w:type="dxa"/>
            <w:gridSpan w:val="2"/>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Porto</w:t>
            </w: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r>
              <w:rPr>
                <w:rFonts w:ascii="Arial" w:hAnsi="Arial" w:cs="Arial"/>
                <w:sz w:val="18"/>
                <w:szCs w:val="18"/>
              </w:rPr>
              <w:t xml:space="preserve"> </w:t>
            </w: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10 892</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20 000</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-9 108</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30 000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27 339</w:t>
            </w:r>
          </w:p>
        </w:tc>
      </w:tr>
      <w:tr w:rsidR="003854D8" w:rsidTr="006C217D">
        <w:trPr>
          <w:trHeight w:val="240"/>
        </w:trPr>
        <w:tc>
          <w:tcPr>
            <w:tcW w:w="1608" w:type="dxa"/>
            <w:gridSpan w:val="2"/>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Bilkostnader</w:t>
            </w: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63 718</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66 667</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-2 949</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100 000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85 118</w:t>
            </w:r>
          </w:p>
        </w:tc>
      </w:tr>
      <w:tr w:rsidR="003854D8" w:rsidTr="006C217D">
        <w:trPr>
          <w:trHeight w:val="240"/>
        </w:trPr>
        <w:tc>
          <w:tcPr>
            <w:tcW w:w="2412" w:type="dxa"/>
            <w:gridSpan w:val="3"/>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Reisekostnader</w:t>
            </w: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149 431</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150 000</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-569</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225 000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69 367</w:t>
            </w:r>
          </w:p>
        </w:tc>
      </w:tr>
      <w:tr w:rsidR="003854D8" w:rsidTr="006C217D">
        <w:trPr>
          <w:trHeight w:val="240"/>
        </w:trPr>
        <w:tc>
          <w:tcPr>
            <w:tcW w:w="2412" w:type="dxa"/>
            <w:gridSpan w:val="3"/>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Kurskostnader</w:t>
            </w: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26 191</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33 333</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-7 142</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50 000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34 827</w:t>
            </w:r>
          </w:p>
        </w:tc>
      </w:tr>
      <w:tr w:rsidR="003854D8" w:rsidTr="006C217D">
        <w:trPr>
          <w:trHeight w:val="240"/>
        </w:trPr>
        <w:tc>
          <w:tcPr>
            <w:tcW w:w="2412" w:type="dxa"/>
            <w:gridSpan w:val="3"/>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Gaver og kontingenter</w:t>
            </w: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36 042</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33 333</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2 709</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50 000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40 826</w:t>
            </w:r>
          </w:p>
        </w:tc>
      </w:tr>
      <w:tr w:rsidR="003854D8" w:rsidTr="006C217D">
        <w:trPr>
          <w:trHeight w:val="240"/>
        </w:trPr>
        <w:tc>
          <w:tcPr>
            <w:tcW w:w="1608" w:type="dxa"/>
            <w:gridSpan w:val="2"/>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Forsikring</w:t>
            </w: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r>
              <w:rPr>
                <w:rFonts w:ascii="Arial" w:hAnsi="Arial" w:cs="Arial"/>
                <w:sz w:val="18"/>
                <w:szCs w:val="18"/>
              </w:rPr>
              <w:t xml:space="preserve"> </w:t>
            </w: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3 216</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0</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3 216</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0</w:t>
            </w:r>
          </w:p>
        </w:tc>
      </w:tr>
      <w:tr w:rsidR="003854D8" w:rsidTr="006C217D">
        <w:trPr>
          <w:trHeight w:val="240"/>
        </w:trPr>
        <w:tc>
          <w:tcPr>
            <w:tcW w:w="2412" w:type="dxa"/>
            <w:gridSpan w:val="3"/>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Bankkostnader</w:t>
            </w: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2 842</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2 000</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842</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3 000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2 291</w:t>
            </w:r>
          </w:p>
        </w:tc>
      </w:tr>
      <w:tr w:rsidR="003854D8" w:rsidTr="006C217D">
        <w:trPr>
          <w:trHeight w:val="240"/>
        </w:trPr>
        <w:tc>
          <w:tcPr>
            <w:tcW w:w="2412" w:type="dxa"/>
            <w:gridSpan w:val="3"/>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Tap og lignende</w:t>
            </w:r>
          </w:p>
        </w:tc>
        <w:tc>
          <w:tcPr>
            <w:tcW w:w="804" w:type="dxa"/>
            <w:gridSpan w:val="2"/>
            <w:tcBorders>
              <w:top w:val="nil"/>
              <w:left w:val="nil"/>
              <w:bottom w:val="single" w:sz="4" w:space="0" w:color="auto"/>
              <w:right w:val="nil"/>
            </w:tcBorders>
            <w:shd w:val="clear" w:color="auto" w:fill="auto"/>
            <w:noWrap/>
            <w:vAlign w:val="bottom"/>
            <w:hideMark/>
          </w:tcPr>
          <w:p w:rsidR="003854D8" w:rsidRDefault="003854D8">
            <w:pPr>
              <w:rPr>
                <w:rFonts w:ascii="Arial" w:hAnsi="Arial" w:cs="Arial"/>
                <w:sz w:val="18"/>
                <w:szCs w:val="18"/>
              </w:rPr>
            </w:pPr>
            <w:r>
              <w:rPr>
                <w:rFonts w:ascii="Arial" w:hAnsi="Arial" w:cs="Arial"/>
                <w:sz w:val="18"/>
                <w:szCs w:val="18"/>
              </w:rPr>
              <w:t> </w:t>
            </w: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0</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26 667</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-26 667</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40 000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0</w:t>
            </w:r>
          </w:p>
        </w:tc>
      </w:tr>
      <w:tr w:rsidR="003854D8" w:rsidTr="006C217D">
        <w:trPr>
          <w:trHeight w:val="240"/>
        </w:trPr>
        <w:tc>
          <w:tcPr>
            <w:tcW w:w="2412" w:type="dxa"/>
            <w:gridSpan w:val="3"/>
            <w:tcBorders>
              <w:top w:val="single" w:sz="4" w:space="0" w:color="auto"/>
              <w:left w:val="single" w:sz="4" w:space="0" w:color="auto"/>
              <w:bottom w:val="single" w:sz="4" w:space="0" w:color="auto"/>
              <w:right w:val="nil"/>
            </w:tcBorders>
            <w:shd w:val="clear" w:color="auto" w:fill="auto"/>
            <w:noWrap/>
            <w:vAlign w:val="bottom"/>
            <w:hideMark/>
          </w:tcPr>
          <w:p w:rsidR="003854D8" w:rsidRDefault="003854D8">
            <w:pPr>
              <w:rPr>
                <w:rFonts w:ascii="Arial" w:hAnsi="Arial" w:cs="Arial"/>
                <w:b/>
                <w:bCs/>
                <w:sz w:val="18"/>
                <w:szCs w:val="18"/>
              </w:rPr>
            </w:pPr>
            <w:r>
              <w:rPr>
                <w:rFonts w:ascii="Arial" w:hAnsi="Arial" w:cs="Arial"/>
                <w:b/>
                <w:bCs/>
                <w:sz w:val="18"/>
                <w:szCs w:val="18"/>
              </w:rPr>
              <w:t>Sum driftskostnader</w:t>
            </w:r>
          </w:p>
        </w:tc>
        <w:tc>
          <w:tcPr>
            <w:tcW w:w="804" w:type="dxa"/>
            <w:gridSpan w:val="2"/>
            <w:tcBorders>
              <w:top w:val="nil"/>
              <w:left w:val="nil"/>
              <w:bottom w:val="single" w:sz="4" w:space="0" w:color="auto"/>
              <w:right w:val="nil"/>
            </w:tcBorders>
            <w:shd w:val="clear" w:color="auto" w:fill="auto"/>
            <w:noWrap/>
            <w:vAlign w:val="bottom"/>
            <w:hideMark/>
          </w:tcPr>
          <w:p w:rsidR="003854D8" w:rsidRDefault="003854D8">
            <w:pPr>
              <w:rPr>
                <w:rFonts w:ascii="Arial" w:hAnsi="Arial" w:cs="Arial"/>
                <w:b/>
                <w:bCs/>
                <w:sz w:val="18"/>
                <w:szCs w:val="18"/>
              </w:rPr>
            </w:pPr>
            <w:r>
              <w:rPr>
                <w:rFonts w:ascii="Arial" w:hAnsi="Arial" w:cs="Arial"/>
                <w:b/>
                <w:bCs/>
                <w:sz w:val="18"/>
                <w:szCs w:val="18"/>
              </w:rPr>
              <w:t> </w:t>
            </w:r>
          </w:p>
        </w:tc>
        <w:tc>
          <w:tcPr>
            <w:tcW w:w="804" w:type="dxa"/>
            <w:tcBorders>
              <w:top w:val="single" w:sz="4" w:space="0" w:color="auto"/>
              <w:left w:val="nil"/>
              <w:bottom w:val="single" w:sz="4" w:space="0" w:color="auto"/>
              <w:right w:val="nil"/>
            </w:tcBorders>
            <w:shd w:val="clear" w:color="auto" w:fill="auto"/>
            <w:noWrap/>
            <w:vAlign w:val="bottom"/>
            <w:hideMark/>
          </w:tcPr>
          <w:p w:rsidR="003854D8" w:rsidRDefault="003854D8">
            <w:pPr>
              <w:rPr>
                <w:rFonts w:ascii="Arial" w:hAnsi="Arial" w:cs="Arial"/>
                <w:b/>
                <w:bCs/>
                <w:sz w:val="18"/>
                <w:szCs w:val="18"/>
              </w:rPr>
            </w:pPr>
            <w:r>
              <w:rPr>
                <w:rFonts w:ascii="Arial" w:hAnsi="Arial" w:cs="Arial"/>
                <w:b/>
                <w:bCs/>
                <w:sz w:val="18"/>
                <w:szCs w:val="18"/>
              </w:rPr>
              <w:t> </w:t>
            </w:r>
          </w:p>
        </w:tc>
        <w:tc>
          <w:tcPr>
            <w:tcW w:w="1000" w:type="dxa"/>
            <w:gridSpan w:val="2"/>
            <w:tcBorders>
              <w:top w:val="nil"/>
              <w:left w:val="single" w:sz="4" w:space="0" w:color="auto"/>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b/>
                <w:bCs/>
                <w:sz w:val="18"/>
                <w:szCs w:val="18"/>
              </w:rPr>
            </w:pPr>
            <w:r>
              <w:rPr>
                <w:rFonts w:ascii="Arial" w:hAnsi="Arial" w:cs="Arial"/>
                <w:b/>
                <w:bCs/>
                <w:sz w:val="18"/>
                <w:szCs w:val="18"/>
              </w:rPr>
              <w:t>1 302 816</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b/>
                <w:bCs/>
                <w:sz w:val="18"/>
                <w:szCs w:val="18"/>
              </w:rPr>
            </w:pPr>
            <w:r>
              <w:rPr>
                <w:rFonts w:ascii="Arial" w:hAnsi="Arial" w:cs="Arial"/>
                <w:b/>
                <w:bCs/>
                <w:sz w:val="18"/>
                <w:szCs w:val="18"/>
              </w:rPr>
              <w:t>1 442 000</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b/>
                <w:bCs/>
                <w:sz w:val="18"/>
                <w:szCs w:val="18"/>
              </w:rPr>
            </w:pPr>
            <w:r>
              <w:rPr>
                <w:rFonts w:ascii="Arial" w:hAnsi="Arial" w:cs="Arial"/>
                <w:b/>
                <w:bCs/>
                <w:sz w:val="18"/>
                <w:szCs w:val="18"/>
              </w:rPr>
              <w:t>-139 184</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b/>
                <w:bCs/>
                <w:sz w:val="18"/>
                <w:szCs w:val="18"/>
              </w:rPr>
            </w:pPr>
            <w:r>
              <w:rPr>
                <w:rFonts w:ascii="Arial" w:hAnsi="Arial" w:cs="Arial"/>
                <w:b/>
                <w:bCs/>
                <w:sz w:val="18"/>
                <w:szCs w:val="18"/>
              </w:rPr>
              <w:t>2 163 000</w:t>
            </w:r>
          </w:p>
        </w:tc>
        <w:tc>
          <w:tcPr>
            <w:tcW w:w="1000" w:type="dxa"/>
            <w:gridSpan w:val="3"/>
            <w:tcBorders>
              <w:top w:val="single" w:sz="4" w:space="0" w:color="auto"/>
              <w:left w:val="nil"/>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b/>
                <w:bCs/>
                <w:sz w:val="18"/>
                <w:szCs w:val="18"/>
              </w:rPr>
            </w:pPr>
            <w:r>
              <w:rPr>
                <w:rFonts w:ascii="Arial" w:hAnsi="Arial" w:cs="Arial"/>
                <w:b/>
                <w:bCs/>
                <w:sz w:val="18"/>
                <w:szCs w:val="18"/>
              </w:rPr>
              <w:t>1 275 816</w:t>
            </w:r>
          </w:p>
        </w:tc>
      </w:tr>
      <w:tr w:rsidR="003854D8" w:rsidTr="006C217D">
        <w:trPr>
          <w:trHeight w:val="240"/>
        </w:trPr>
        <w:tc>
          <w:tcPr>
            <w:tcW w:w="804" w:type="dxa"/>
            <w:tcBorders>
              <w:top w:val="nil"/>
              <w:left w:val="single" w:sz="4" w:space="0" w:color="auto"/>
              <w:bottom w:val="nil"/>
              <w:right w:val="nil"/>
            </w:tcBorders>
            <w:shd w:val="clear" w:color="auto" w:fill="auto"/>
            <w:noWrap/>
            <w:vAlign w:val="bottom"/>
            <w:hideMark/>
          </w:tcPr>
          <w:p w:rsidR="003854D8" w:rsidRDefault="003854D8">
            <w:pPr>
              <w:rPr>
                <w:rFonts w:ascii="Arial" w:hAnsi="Arial" w:cs="Arial"/>
                <w:sz w:val="18"/>
                <w:szCs w:val="18"/>
              </w:rPr>
            </w:pPr>
            <w:r>
              <w:rPr>
                <w:rFonts w:ascii="Arial" w:hAnsi="Arial" w:cs="Arial"/>
                <w:sz w:val="18"/>
                <w:szCs w:val="18"/>
              </w:rPr>
              <w:t> </w:t>
            </w: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rPr>
                <w:rFonts w:ascii="Arial" w:hAnsi="Arial" w:cs="Arial"/>
                <w:sz w:val="18"/>
                <w:szCs w:val="18"/>
              </w:rPr>
            </w:pPr>
            <w:r>
              <w:rPr>
                <w:rFonts w:ascii="Arial" w:hAnsi="Arial" w:cs="Arial"/>
                <w:sz w:val="18"/>
                <w:szCs w:val="18"/>
              </w:rPr>
              <w:t> </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rPr>
                <w:rFonts w:ascii="Arial" w:hAnsi="Arial" w:cs="Arial"/>
                <w:sz w:val="18"/>
                <w:szCs w:val="18"/>
              </w:rPr>
            </w:pPr>
            <w:r>
              <w:rPr>
                <w:rFonts w:ascii="Arial" w:hAnsi="Arial" w:cs="Arial"/>
                <w:sz w:val="18"/>
                <w:szCs w:val="18"/>
              </w:rPr>
              <w:t> </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rPr>
                <w:rFonts w:ascii="Arial" w:hAnsi="Arial" w:cs="Arial"/>
                <w:sz w:val="18"/>
                <w:szCs w:val="18"/>
              </w:rPr>
            </w:pPr>
            <w:r>
              <w:rPr>
                <w:rFonts w:ascii="Arial" w:hAnsi="Arial" w:cs="Arial"/>
                <w:sz w:val="18"/>
                <w:szCs w:val="18"/>
              </w:rPr>
              <w:t> </w:t>
            </w:r>
          </w:p>
        </w:tc>
        <w:tc>
          <w:tcPr>
            <w:tcW w:w="1060" w:type="dxa"/>
            <w:tcBorders>
              <w:top w:val="nil"/>
              <w:left w:val="nil"/>
              <w:bottom w:val="nil"/>
              <w:right w:val="single" w:sz="4" w:space="0" w:color="auto"/>
            </w:tcBorders>
            <w:shd w:val="clear" w:color="auto" w:fill="auto"/>
            <w:noWrap/>
            <w:vAlign w:val="bottom"/>
            <w:hideMark/>
          </w:tcPr>
          <w:p w:rsidR="003854D8" w:rsidRDefault="003854D8">
            <w:pPr>
              <w:rPr>
                <w:rFonts w:ascii="Arial" w:hAnsi="Arial" w:cs="Arial"/>
                <w:sz w:val="18"/>
                <w:szCs w:val="18"/>
              </w:rPr>
            </w:pPr>
            <w:r>
              <w:rPr>
                <w:rFonts w:ascii="Arial" w:hAnsi="Arial" w:cs="Arial"/>
                <w:sz w:val="18"/>
                <w:szCs w:val="18"/>
              </w:rPr>
              <w:t> </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rPr>
                <w:rFonts w:ascii="Arial" w:hAnsi="Arial" w:cs="Arial"/>
                <w:sz w:val="18"/>
                <w:szCs w:val="18"/>
              </w:rPr>
            </w:pPr>
            <w:r>
              <w:rPr>
                <w:rFonts w:ascii="Arial" w:hAnsi="Arial" w:cs="Arial"/>
                <w:sz w:val="18"/>
                <w:szCs w:val="18"/>
              </w:rPr>
              <w:t> </w:t>
            </w:r>
          </w:p>
        </w:tc>
      </w:tr>
      <w:tr w:rsidR="003854D8" w:rsidTr="006C217D">
        <w:trPr>
          <w:trHeight w:val="240"/>
        </w:trPr>
        <w:tc>
          <w:tcPr>
            <w:tcW w:w="2412" w:type="dxa"/>
            <w:gridSpan w:val="3"/>
            <w:tcBorders>
              <w:top w:val="single" w:sz="4" w:space="0" w:color="auto"/>
              <w:left w:val="single" w:sz="4" w:space="0" w:color="auto"/>
              <w:bottom w:val="single" w:sz="4" w:space="0" w:color="auto"/>
              <w:right w:val="nil"/>
            </w:tcBorders>
            <w:shd w:val="clear" w:color="auto" w:fill="auto"/>
            <w:noWrap/>
            <w:vAlign w:val="bottom"/>
            <w:hideMark/>
          </w:tcPr>
          <w:p w:rsidR="003854D8" w:rsidRDefault="003854D8">
            <w:pPr>
              <w:rPr>
                <w:rFonts w:ascii="Arial" w:hAnsi="Arial" w:cs="Arial"/>
                <w:b/>
                <w:bCs/>
                <w:sz w:val="18"/>
                <w:szCs w:val="18"/>
              </w:rPr>
            </w:pPr>
            <w:r>
              <w:rPr>
                <w:rFonts w:ascii="Arial" w:hAnsi="Arial" w:cs="Arial"/>
                <w:b/>
                <w:bCs/>
                <w:sz w:val="18"/>
                <w:szCs w:val="18"/>
              </w:rPr>
              <w:t>SUM KOSTNADER</w:t>
            </w:r>
          </w:p>
        </w:tc>
        <w:tc>
          <w:tcPr>
            <w:tcW w:w="804" w:type="dxa"/>
            <w:gridSpan w:val="2"/>
            <w:tcBorders>
              <w:top w:val="single" w:sz="4" w:space="0" w:color="auto"/>
              <w:left w:val="nil"/>
              <w:bottom w:val="single" w:sz="4" w:space="0" w:color="auto"/>
              <w:right w:val="nil"/>
            </w:tcBorders>
            <w:shd w:val="clear" w:color="auto" w:fill="auto"/>
            <w:noWrap/>
            <w:vAlign w:val="bottom"/>
            <w:hideMark/>
          </w:tcPr>
          <w:p w:rsidR="003854D8" w:rsidRDefault="003854D8">
            <w:pPr>
              <w:rPr>
                <w:rFonts w:ascii="Arial" w:hAnsi="Arial" w:cs="Arial"/>
                <w:b/>
                <w:bCs/>
                <w:sz w:val="18"/>
                <w:szCs w:val="18"/>
              </w:rPr>
            </w:pPr>
            <w:r>
              <w:rPr>
                <w:rFonts w:ascii="Arial" w:hAnsi="Arial" w:cs="Arial"/>
                <w:b/>
                <w:bCs/>
                <w:sz w:val="18"/>
                <w:szCs w:val="18"/>
              </w:rPr>
              <w:t> </w:t>
            </w:r>
          </w:p>
        </w:tc>
        <w:tc>
          <w:tcPr>
            <w:tcW w:w="804" w:type="dxa"/>
            <w:tcBorders>
              <w:top w:val="single" w:sz="4" w:space="0" w:color="auto"/>
              <w:left w:val="nil"/>
              <w:bottom w:val="single" w:sz="4" w:space="0" w:color="auto"/>
              <w:right w:val="nil"/>
            </w:tcBorders>
            <w:shd w:val="clear" w:color="auto" w:fill="auto"/>
            <w:noWrap/>
            <w:vAlign w:val="bottom"/>
            <w:hideMark/>
          </w:tcPr>
          <w:p w:rsidR="003854D8" w:rsidRDefault="003854D8">
            <w:pPr>
              <w:rPr>
                <w:rFonts w:ascii="Arial" w:hAnsi="Arial" w:cs="Arial"/>
                <w:b/>
                <w:bCs/>
                <w:sz w:val="18"/>
                <w:szCs w:val="18"/>
              </w:rPr>
            </w:pPr>
            <w:r>
              <w:rPr>
                <w:rFonts w:ascii="Arial" w:hAnsi="Arial" w:cs="Arial"/>
                <w:b/>
                <w:bCs/>
                <w:sz w:val="18"/>
                <w:szCs w:val="18"/>
              </w:rPr>
              <w:t> </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b/>
                <w:bCs/>
                <w:sz w:val="18"/>
                <w:szCs w:val="18"/>
              </w:rPr>
            </w:pPr>
            <w:r>
              <w:rPr>
                <w:rFonts w:ascii="Arial" w:hAnsi="Arial" w:cs="Arial"/>
                <w:b/>
                <w:bCs/>
                <w:sz w:val="18"/>
                <w:szCs w:val="18"/>
              </w:rPr>
              <w:t>6 712 466</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b/>
                <w:bCs/>
                <w:sz w:val="18"/>
                <w:szCs w:val="18"/>
              </w:rPr>
            </w:pPr>
            <w:r>
              <w:rPr>
                <w:rFonts w:ascii="Arial" w:hAnsi="Arial" w:cs="Arial"/>
                <w:b/>
                <w:bCs/>
                <w:sz w:val="18"/>
                <w:szCs w:val="18"/>
              </w:rPr>
              <w:t>6 716 000</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b/>
                <w:bCs/>
                <w:sz w:val="18"/>
                <w:szCs w:val="18"/>
              </w:rPr>
            </w:pPr>
            <w:r>
              <w:rPr>
                <w:rFonts w:ascii="Arial" w:hAnsi="Arial" w:cs="Arial"/>
                <w:b/>
                <w:bCs/>
                <w:sz w:val="18"/>
                <w:szCs w:val="18"/>
              </w:rPr>
              <w:t>-3 534</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b/>
                <w:bCs/>
                <w:sz w:val="18"/>
                <w:szCs w:val="18"/>
              </w:rPr>
            </w:pPr>
            <w:r>
              <w:rPr>
                <w:rFonts w:ascii="Arial" w:hAnsi="Arial" w:cs="Arial"/>
                <w:b/>
                <w:bCs/>
                <w:sz w:val="18"/>
                <w:szCs w:val="18"/>
              </w:rPr>
              <w:t>10 074 000</w:t>
            </w:r>
          </w:p>
        </w:tc>
        <w:tc>
          <w:tcPr>
            <w:tcW w:w="1000" w:type="dxa"/>
            <w:gridSpan w:val="3"/>
            <w:tcBorders>
              <w:top w:val="single" w:sz="4" w:space="0" w:color="auto"/>
              <w:left w:val="nil"/>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b/>
                <w:bCs/>
                <w:sz w:val="18"/>
                <w:szCs w:val="18"/>
              </w:rPr>
            </w:pPr>
            <w:r>
              <w:rPr>
                <w:rFonts w:ascii="Arial" w:hAnsi="Arial" w:cs="Arial"/>
                <w:b/>
                <w:bCs/>
                <w:sz w:val="18"/>
                <w:szCs w:val="18"/>
              </w:rPr>
              <w:t>5 596 401</w:t>
            </w:r>
          </w:p>
        </w:tc>
      </w:tr>
      <w:tr w:rsidR="003854D8" w:rsidTr="006C217D">
        <w:trPr>
          <w:trHeight w:val="240"/>
        </w:trPr>
        <w:tc>
          <w:tcPr>
            <w:tcW w:w="2412" w:type="dxa"/>
            <w:gridSpan w:val="3"/>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Renteinntekter</w:t>
            </w: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b/>
                <w:bCs/>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b/>
                <w:bCs/>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8 205</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33 333</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-25 128</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50 000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7 896</w:t>
            </w:r>
          </w:p>
        </w:tc>
      </w:tr>
      <w:tr w:rsidR="003854D8" w:rsidTr="006C217D">
        <w:trPr>
          <w:trHeight w:val="240"/>
        </w:trPr>
        <w:tc>
          <w:tcPr>
            <w:tcW w:w="2412" w:type="dxa"/>
            <w:gridSpan w:val="3"/>
            <w:tcBorders>
              <w:top w:val="nil"/>
              <w:left w:val="single" w:sz="4" w:space="0" w:color="auto"/>
              <w:bottom w:val="nil"/>
              <w:right w:val="nil"/>
            </w:tcBorders>
            <w:shd w:val="clear" w:color="auto" w:fill="auto"/>
            <w:noWrap/>
            <w:vAlign w:val="bottom"/>
            <w:hideMark/>
          </w:tcPr>
          <w:p w:rsidR="003854D8" w:rsidRDefault="003854D8">
            <w:pPr>
              <w:rPr>
                <w:rFonts w:ascii="Arial" w:hAnsi="Arial" w:cs="Arial"/>
                <w:i/>
                <w:iCs/>
                <w:sz w:val="18"/>
                <w:szCs w:val="18"/>
              </w:rPr>
            </w:pPr>
            <w:r>
              <w:rPr>
                <w:rFonts w:ascii="Arial" w:hAnsi="Arial" w:cs="Arial"/>
                <w:i/>
                <w:iCs/>
                <w:sz w:val="18"/>
                <w:szCs w:val="18"/>
              </w:rPr>
              <w:t>Finanskostnader</w:t>
            </w:r>
          </w:p>
        </w:tc>
        <w:tc>
          <w:tcPr>
            <w:tcW w:w="804" w:type="dxa"/>
            <w:gridSpan w:val="2"/>
            <w:tcBorders>
              <w:top w:val="nil"/>
              <w:left w:val="nil"/>
              <w:bottom w:val="nil"/>
              <w:right w:val="nil"/>
            </w:tcBorders>
            <w:shd w:val="clear" w:color="auto" w:fill="auto"/>
            <w:noWrap/>
            <w:vAlign w:val="bottom"/>
            <w:hideMark/>
          </w:tcPr>
          <w:p w:rsidR="003854D8" w:rsidRDefault="003854D8">
            <w:pPr>
              <w:rPr>
                <w:rFonts w:ascii="Arial" w:hAnsi="Arial" w:cs="Arial"/>
                <w:b/>
                <w:bCs/>
                <w:sz w:val="18"/>
                <w:szCs w:val="18"/>
              </w:rPr>
            </w:pPr>
          </w:p>
        </w:tc>
        <w:tc>
          <w:tcPr>
            <w:tcW w:w="804" w:type="dxa"/>
            <w:tcBorders>
              <w:top w:val="nil"/>
              <w:left w:val="nil"/>
              <w:bottom w:val="nil"/>
              <w:right w:val="nil"/>
            </w:tcBorders>
            <w:shd w:val="clear" w:color="auto" w:fill="auto"/>
            <w:noWrap/>
            <w:vAlign w:val="bottom"/>
            <w:hideMark/>
          </w:tcPr>
          <w:p w:rsidR="003854D8" w:rsidRDefault="003854D8">
            <w:pPr>
              <w:rPr>
                <w:rFonts w:ascii="Arial" w:hAnsi="Arial" w:cs="Arial"/>
                <w:b/>
                <w:bCs/>
                <w:sz w:val="18"/>
                <w:szCs w:val="18"/>
              </w:rPr>
            </w:pPr>
          </w:p>
        </w:tc>
        <w:tc>
          <w:tcPr>
            <w:tcW w:w="1000" w:type="dxa"/>
            <w:gridSpan w:val="2"/>
            <w:tcBorders>
              <w:top w:val="nil"/>
              <w:left w:val="single" w:sz="4" w:space="0" w:color="auto"/>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1 731</w:t>
            </w:r>
          </w:p>
        </w:tc>
        <w:tc>
          <w:tcPr>
            <w:tcW w:w="108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667</w:t>
            </w:r>
          </w:p>
        </w:tc>
        <w:tc>
          <w:tcPr>
            <w:tcW w:w="1000" w:type="dxa"/>
            <w:gridSpan w:val="2"/>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1 064</w:t>
            </w:r>
          </w:p>
        </w:tc>
        <w:tc>
          <w:tcPr>
            <w:tcW w:w="1060" w:type="dxa"/>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1 000</w:t>
            </w:r>
          </w:p>
        </w:tc>
        <w:tc>
          <w:tcPr>
            <w:tcW w:w="1000" w:type="dxa"/>
            <w:gridSpan w:val="3"/>
            <w:tcBorders>
              <w:top w:val="nil"/>
              <w:left w:val="nil"/>
              <w:bottom w:val="nil"/>
              <w:right w:val="single" w:sz="4" w:space="0" w:color="auto"/>
            </w:tcBorders>
            <w:shd w:val="clear" w:color="auto" w:fill="auto"/>
            <w:noWrap/>
            <w:vAlign w:val="bottom"/>
            <w:hideMark/>
          </w:tcPr>
          <w:p w:rsidR="003854D8" w:rsidRDefault="003854D8">
            <w:pPr>
              <w:jc w:val="right"/>
              <w:rPr>
                <w:rFonts w:ascii="Arial" w:hAnsi="Arial" w:cs="Arial"/>
                <w:sz w:val="18"/>
                <w:szCs w:val="18"/>
              </w:rPr>
            </w:pPr>
            <w:r>
              <w:rPr>
                <w:rFonts w:ascii="Arial" w:hAnsi="Arial" w:cs="Arial"/>
                <w:sz w:val="18"/>
                <w:szCs w:val="18"/>
              </w:rPr>
              <w:t>191</w:t>
            </w:r>
          </w:p>
        </w:tc>
      </w:tr>
      <w:tr w:rsidR="003854D8" w:rsidTr="006C217D">
        <w:trPr>
          <w:trHeight w:val="240"/>
        </w:trPr>
        <w:tc>
          <w:tcPr>
            <w:tcW w:w="1608" w:type="dxa"/>
            <w:gridSpan w:val="2"/>
            <w:tcBorders>
              <w:top w:val="single" w:sz="4" w:space="0" w:color="auto"/>
              <w:left w:val="single" w:sz="4" w:space="0" w:color="auto"/>
              <w:bottom w:val="single" w:sz="4" w:space="0" w:color="auto"/>
              <w:right w:val="nil"/>
            </w:tcBorders>
            <w:shd w:val="clear" w:color="auto" w:fill="auto"/>
            <w:noWrap/>
            <w:vAlign w:val="bottom"/>
            <w:hideMark/>
          </w:tcPr>
          <w:p w:rsidR="003854D8" w:rsidRDefault="003854D8">
            <w:pPr>
              <w:rPr>
                <w:rFonts w:ascii="Arial" w:hAnsi="Arial" w:cs="Arial"/>
                <w:b/>
                <w:bCs/>
                <w:sz w:val="18"/>
                <w:szCs w:val="18"/>
              </w:rPr>
            </w:pPr>
            <w:r>
              <w:rPr>
                <w:rFonts w:ascii="Arial" w:hAnsi="Arial" w:cs="Arial"/>
                <w:b/>
                <w:bCs/>
                <w:sz w:val="18"/>
                <w:szCs w:val="18"/>
              </w:rPr>
              <w:t>RESULTAT</w:t>
            </w:r>
          </w:p>
        </w:tc>
        <w:tc>
          <w:tcPr>
            <w:tcW w:w="804" w:type="dxa"/>
            <w:tcBorders>
              <w:top w:val="single" w:sz="4" w:space="0" w:color="auto"/>
              <w:left w:val="nil"/>
              <w:bottom w:val="single" w:sz="4" w:space="0" w:color="auto"/>
              <w:right w:val="nil"/>
            </w:tcBorders>
            <w:shd w:val="clear" w:color="auto" w:fill="auto"/>
            <w:noWrap/>
            <w:vAlign w:val="bottom"/>
            <w:hideMark/>
          </w:tcPr>
          <w:p w:rsidR="003854D8" w:rsidRDefault="003854D8">
            <w:pPr>
              <w:rPr>
                <w:rFonts w:ascii="Arial" w:hAnsi="Arial" w:cs="Arial"/>
                <w:b/>
                <w:bCs/>
                <w:sz w:val="18"/>
                <w:szCs w:val="18"/>
              </w:rPr>
            </w:pPr>
            <w:r>
              <w:rPr>
                <w:rFonts w:ascii="Arial" w:hAnsi="Arial" w:cs="Arial"/>
                <w:b/>
                <w:bCs/>
                <w:sz w:val="18"/>
                <w:szCs w:val="18"/>
              </w:rPr>
              <w:t> </w:t>
            </w:r>
          </w:p>
        </w:tc>
        <w:tc>
          <w:tcPr>
            <w:tcW w:w="804" w:type="dxa"/>
            <w:gridSpan w:val="2"/>
            <w:tcBorders>
              <w:top w:val="single" w:sz="4" w:space="0" w:color="auto"/>
              <w:left w:val="nil"/>
              <w:bottom w:val="single" w:sz="4" w:space="0" w:color="auto"/>
              <w:right w:val="nil"/>
            </w:tcBorders>
            <w:shd w:val="clear" w:color="auto" w:fill="auto"/>
            <w:noWrap/>
            <w:vAlign w:val="bottom"/>
            <w:hideMark/>
          </w:tcPr>
          <w:p w:rsidR="003854D8" w:rsidRDefault="003854D8">
            <w:pPr>
              <w:rPr>
                <w:rFonts w:ascii="Arial" w:hAnsi="Arial" w:cs="Arial"/>
                <w:b/>
                <w:bCs/>
                <w:sz w:val="18"/>
                <w:szCs w:val="18"/>
              </w:rPr>
            </w:pPr>
            <w:r>
              <w:rPr>
                <w:rFonts w:ascii="Arial" w:hAnsi="Arial" w:cs="Arial"/>
                <w:b/>
                <w:bCs/>
                <w:sz w:val="18"/>
                <w:szCs w:val="18"/>
              </w:rPr>
              <w:t> </w:t>
            </w:r>
          </w:p>
        </w:tc>
        <w:tc>
          <w:tcPr>
            <w:tcW w:w="804" w:type="dxa"/>
            <w:tcBorders>
              <w:top w:val="single" w:sz="4" w:space="0" w:color="auto"/>
              <w:left w:val="nil"/>
              <w:bottom w:val="single" w:sz="4" w:space="0" w:color="auto"/>
              <w:right w:val="nil"/>
            </w:tcBorders>
            <w:shd w:val="clear" w:color="auto" w:fill="auto"/>
            <w:noWrap/>
            <w:vAlign w:val="bottom"/>
            <w:hideMark/>
          </w:tcPr>
          <w:p w:rsidR="003854D8" w:rsidRDefault="003854D8">
            <w:pPr>
              <w:rPr>
                <w:rFonts w:ascii="Arial" w:hAnsi="Arial" w:cs="Arial"/>
                <w:b/>
                <w:bCs/>
                <w:sz w:val="18"/>
                <w:szCs w:val="18"/>
              </w:rPr>
            </w:pPr>
            <w:r>
              <w:rPr>
                <w:rFonts w:ascii="Arial" w:hAnsi="Arial" w:cs="Arial"/>
                <w:b/>
                <w:bCs/>
                <w:sz w:val="18"/>
                <w:szCs w:val="18"/>
              </w:rPr>
              <w:t> </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b/>
                <w:bCs/>
                <w:sz w:val="18"/>
                <w:szCs w:val="18"/>
              </w:rPr>
            </w:pPr>
            <w:r>
              <w:rPr>
                <w:rFonts w:ascii="Arial" w:hAnsi="Arial" w:cs="Arial"/>
                <w:b/>
                <w:bCs/>
                <w:sz w:val="18"/>
                <w:szCs w:val="18"/>
              </w:rPr>
              <w:t>184 781</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b/>
                <w:bCs/>
                <w:sz w:val="18"/>
                <w:szCs w:val="18"/>
              </w:rPr>
            </w:pPr>
            <w:r>
              <w:rPr>
                <w:rFonts w:ascii="Arial" w:hAnsi="Arial" w:cs="Arial"/>
                <w:b/>
                <w:bCs/>
                <w:sz w:val="18"/>
                <w:szCs w:val="18"/>
              </w:rPr>
              <w:t>43 333</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b/>
                <w:bCs/>
                <w:sz w:val="18"/>
                <w:szCs w:val="18"/>
              </w:rPr>
            </w:pPr>
            <w:r>
              <w:rPr>
                <w:rFonts w:ascii="Arial" w:hAnsi="Arial" w:cs="Arial"/>
                <w:b/>
                <w:bCs/>
                <w:sz w:val="18"/>
                <w:szCs w:val="18"/>
              </w:rPr>
              <w:t>141 448</w:t>
            </w:r>
          </w:p>
        </w:tc>
        <w:tc>
          <w:tcPr>
            <w:tcW w:w="1060" w:type="dxa"/>
            <w:tcBorders>
              <w:top w:val="nil"/>
              <w:left w:val="nil"/>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b/>
                <w:bCs/>
                <w:sz w:val="18"/>
                <w:szCs w:val="18"/>
              </w:rPr>
            </w:pPr>
            <w:r>
              <w:rPr>
                <w:rFonts w:ascii="Arial" w:hAnsi="Arial" w:cs="Arial"/>
                <w:b/>
                <w:bCs/>
                <w:sz w:val="18"/>
                <w:szCs w:val="18"/>
              </w:rPr>
              <w:t>65 000</w:t>
            </w:r>
          </w:p>
        </w:tc>
        <w:tc>
          <w:tcPr>
            <w:tcW w:w="1000" w:type="dxa"/>
            <w:gridSpan w:val="3"/>
            <w:tcBorders>
              <w:top w:val="single" w:sz="4" w:space="0" w:color="auto"/>
              <w:left w:val="nil"/>
              <w:bottom w:val="single" w:sz="4" w:space="0" w:color="auto"/>
              <w:right w:val="single" w:sz="4" w:space="0" w:color="auto"/>
            </w:tcBorders>
            <w:shd w:val="clear" w:color="auto" w:fill="auto"/>
            <w:noWrap/>
            <w:vAlign w:val="bottom"/>
            <w:hideMark/>
          </w:tcPr>
          <w:p w:rsidR="003854D8" w:rsidRDefault="003854D8">
            <w:pPr>
              <w:jc w:val="right"/>
              <w:rPr>
                <w:rFonts w:ascii="Arial" w:hAnsi="Arial" w:cs="Arial"/>
                <w:b/>
                <w:bCs/>
                <w:sz w:val="18"/>
                <w:szCs w:val="18"/>
              </w:rPr>
            </w:pPr>
            <w:r>
              <w:rPr>
                <w:rFonts w:ascii="Arial" w:hAnsi="Arial" w:cs="Arial"/>
                <w:b/>
                <w:bCs/>
                <w:sz w:val="18"/>
                <w:szCs w:val="18"/>
              </w:rPr>
              <w:t>-53 899</w:t>
            </w:r>
          </w:p>
        </w:tc>
      </w:tr>
      <w:tr w:rsidR="006C217D" w:rsidTr="006C217D">
        <w:trPr>
          <w:trHeight w:val="240"/>
        </w:trPr>
        <w:tc>
          <w:tcPr>
            <w:tcW w:w="1608" w:type="dxa"/>
            <w:gridSpan w:val="2"/>
            <w:tcBorders>
              <w:top w:val="single" w:sz="4" w:space="0" w:color="auto"/>
              <w:left w:val="single" w:sz="4" w:space="0" w:color="auto"/>
              <w:bottom w:val="single" w:sz="4" w:space="0" w:color="auto"/>
              <w:right w:val="nil"/>
            </w:tcBorders>
            <w:shd w:val="clear" w:color="auto" w:fill="auto"/>
            <w:noWrap/>
            <w:vAlign w:val="bottom"/>
          </w:tcPr>
          <w:p w:rsidR="006C217D" w:rsidRDefault="006C217D">
            <w:pPr>
              <w:rPr>
                <w:rFonts w:ascii="Arial" w:hAnsi="Arial" w:cs="Arial"/>
                <w:b/>
                <w:bCs/>
                <w:sz w:val="18"/>
                <w:szCs w:val="18"/>
              </w:rPr>
            </w:pPr>
          </w:p>
        </w:tc>
        <w:tc>
          <w:tcPr>
            <w:tcW w:w="804" w:type="dxa"/>
            <w:tcBorders>
              <w:top w:val="single" w:sz="4" w:space="0" w:color="auto"/>
              <w:left w:val="nil"/>
              <w:bottom w:val="single" w:sz="4" w:space="0" w:color="auto"/>
              <w:right w:val="nil"/>
            </w:tcBorders>
            <w:shd w:val="clear" w:color="auto" w:fill="auto"/>
            <w:noWrap/>
            <w:vAlign w:val="bottom"/>
          </w:tcPr>
          <w:p w:rsidR="006C217D" w:rsidRDefault="006C217D">
            <w:pPr>
              <w:rPr>
                <w:rFonts w:ascii="Arial" w:hAnsi="Arial" w:cs="Arial"/>
                <w:b/>
                <w:bCs/>
                <w:sz w:val="18"/>
                <w:szCs w:val="18"/>
              </w:rPr>
            </w:pPr>
          </w:p>
        </w:tc>
        <w:tc>
          <w:tcPr>
            <w:tcW w:w="804" w:type="dxa"/>
            <w:gridSpan w:val="2"/>
            <w:tcBorders>
              <w:top w:val="single" w:sz="4" w:space="0" w:color="auto"/>
              <w:left w:val="nil"/>
              <w:bottom w:val="single" w:sz="4" w:space="0" w:color="auto"/>
              <w:right w:val="nil"/>
            </w:tcBorders>
            <w:shd w:val="clear" w:color="auto" w:fill="auto"/>
            <w:noWrap/>
            <w:vAlign w:val="bottom"/>
          </w:tcPr>
          <w:p w:rsidR="006C217D" w:rsidRDefault="006C217D">
            <w:pPr>
              <w:rPr>
                <w:rFonts w:ascii="Arial" w:hAnsi="Arial" w:cs="Arial"/>
                <w:b/>
                <w:bCs/>
                <w:sz w:val="18"/>
                <w:szCs w:val="18"/>
              </w:rPr>
            </w:pPr>
          </w:p>
        </w:tc>
        <w:tc>
          <w:tcPr>
            <w:tcW w:w="804" w:type="dxa"/>
            <w:tcBorders>
              <w:top w:val="single" w:sz="4" w:space="0" w:color="auto"/>
              <w:left w:val="nil"/>
              <w:bottom w:val="single" w:sz="4" w:space="0" w:color="auto"/>
              <w:right w:val="nil"/>
            </w:tcBorders>
            <w:shd w:val="clear" w:color="auto" w:fill="auto"/>
            <w:noWrap/>
            <w:vAlign w:val="bottom"/>
          </w:tcPr>
          <w:p w:rsidR="006C217D" w:rsidRDefault="006C217D">
            <w:pPr>
              <w:rPr>
                <w:rFonts w:ascii="Arial" w:hAnsi="Arial" w:cs="Arial"/>
                <w:b/>
                <w:bCs/>
                <w:sz w:val="18"/>
                <w:szCs w:val="18"/>
              </w:rPr>
            </w:pP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C217D" w:rsidRDefault="006C217D">
            <w:pPr>
              <w:jc w:val="right"/>
              <w:rPr>
                <w:rFonts w:ascii="Arial" w:hAnsi="Arial" w:cs="Arial"/>
                <w:b/>
                <w:bCs/>
                <w:sz w:val="18"/>
                <w:szCs w:val="18"/>
              </w:rPr>
            </w:pP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tcPr>
          <w:p w:rsidR="006C217D" w:rsidRDefault="006C217D">
            <w:pPr>
              <w:jc w:val="right"/>
              <w:rPr>
                <w:rFonts w:ascii="Arial" w:hAnsi="Arial" w:cs="Arial"/>
                <w:b/>
                <w:bCs/>
                <w:sz w:val="18"/>
                <w:szCs w:val="18"/>
              </w:rPr>
            </w:pPr>
          </w:p>
        </w:tc>
        <w:tc>
          <w:tcPr>
            <w:tcW w:w="1000" w:type="dxa"/>
            <w:gridSpan w:val="2"/>
            <w:tcBorders>
              <w:top w:val="nil"/>
              <w:left w:val="nil"/>
              <w:bottom w:val="single" w:sz="4" w:space="0" w:color="auto"/>
              <w:right w:val="single" w:sz="4" w:space="0" w:color="auto"/>
            </w:tcBorders>
            <w:shd w:val="clear" w:color="auto" w:fill="auto"/>
            <w:noWrap/>
            <w:vAlign w:val="bottom"/>
          </w:tcPr>
          <w:p w:rsidR="006C217D" w:rsidRDefault="006C217D">
            <w:pPr>
              <w:jc w:val="right"/>
              <w:rPr>
                <w:rFonts w:ascii="Arial" w:hAnsi="Arial" w:cs="Arial"/>
                <w:b/>
                <w:bCs/>
                <w:sz w:val="18"/>
                <w:szCs w:val="18"/>
              </w:rPr>
            </w:pPr>
          </w:p>
        </w:tc>
        <w:tc>
          <w:tcPr>
            <w:tcW w:w="1060" w:type="dxa"/>
            <w:tcBorders>
              <w:top w:val="nil"/>
              <w:left w:val="nil"/>
              <w:bottom w:val="single" w:sz="4" w:space="0" w:color="auto"/>
              <w:right w:val="single" w:sz="4" w:space="0" w:color="auto"/>
            </w:tcBorders>
            <w:shd w:val="clear" w:color="auto" w:fill="auto"/>
            <w:noWrap/>
            <w:vAlign w:val="bottom"/>
          </w:tcPr>
          <w:p w:rsidR="006C217D" w:rsidRDefault="006C217D">
            <w:pPr>
              <w:jc w:val="right"/>
              <w:rPr>
                <w:rFonts w:ascii="Arial" w:hAnsi="Arial" w:cs="Arial"/>
                <w:b/>
                <w:bCs/>
                <w:sz w:val="18"/>
                <w:szCs w:val="18"/>
              </w:rPr>
            </w:pPr>
          </w:p>
        </w:tc>
        <w:tc>
          <w:tcPr>
            <w:tcW w:w="1000" w:type="dxa"/>
            <w:gridSpan w:val="3"/>
            <w:tcBorders>
              <w:top w:val="single" w:sz="4" w:space="0" w:color="auto"/>
              <w:left w:val="nil"/>
              <w:bottom w:val="single" w:sz="4" w:space="0" w:color="auto"/>
              <w:right w:val="single" w:sz="4" w:space="0" w:color="auto"/>
            </w:tcBorders>
            <w:shd w:val="clear" w:color="auto" w:fill="auto"/>
            <w:noWrap/>
            <w:vAlign w:val="bottom"/>
          </w:tcPr>
          <w:p w:rsidR="006C217D" w:rsidRDefault="006C217D">
            <w:pPr>
              <w:jc w:val="right"/>
              <w:rPr>
                <w:rFonts w:ascii="Arial" w:hAnsi="Arial" w:cs="Arial"/>
                <w:b/>
                <w:bCs/>
                <w:sz w:val="18"/>
                <w:szCs w:val="18"/>
              </w:rPr>
            </w:pPr>
          </w:p>
        </w:tc>
      </w:tr>
      <w:tr w:rsidR="003854D8" w:rsidTr="006C217D">
        <w:trPr>
          <w:trHeight w:val="255"/>
        </w:trPr>
        <w:tc>
          <w:tcPr>
            <w:tcW w:w="804" w:type="dxa"/>
            <w:tcBorders>
              <w:top w:val="nil"/>
              <w:left w:val="nil"/>
              <w:bottom w:val="nil"/>
              <w:right w:val="nil"/>
            </w:tcBorders>
            <w:shd w:val="clear" w:color="auto" w:fill="auto"/>
            <w:noWrap/>
            <w:vAlign w:val="bottom"/>
          </w:tcPr>
          <w:p w:rsidR="003854D8" w:rsidRDefault="003854D8">
            <w:pPr>
              <w:rPr>
                <w:sz w:val="20"/>
                <w:szCs w:val="20"/>
              </w:rPr>
            </w:pPr>
          </w:p>
          <w:p w:rsidR="006C217D" w:rsidRDefault="006C217D">
            <w:pPr>
              <w:rPr>
                <w:sz w:val="20"/>
                <w:szCs w:val="20"/>
              </w:rPr>
            </w:pPr>
          </w:p>
        </w:tc>
        <w:tc>
          <w:tcPr>
            <w:tcW w:w="804" w:type="dxa"/>
            <w:tcBorders>
              <w:top w:val="nil"/>
              <w:left w:val="nil"/>
              <w:bottom w:val="nil"/>
              <w:right w:val="nil"/>
            </w:tcBorders>
            <w:shd w:val="clear" w:color="auto" w:fill="auto"/>
            <w:noWrap/>
            <w:vAlign w:val="bottom"/>
          </w:tcPr>
          <w:p w:rsidR="003854D8" w:rsidRDefault="003854D8">
            <w:pPr>
              <w:rPr>
                <w:sz w:val="20"/>
                <w:szCs w:val="20"/>
              </w:rPr>
            </w:pPr>
          </w:p>
        </w:tc>
        <w:tc>
          <w:tcPr>
            <w:tcW w:w="804" w:type="dxa"/>
            <w:tcBorders>
              <w:top w:val="nil"/>
              <w:left w:val="nil"/>
              <w:bottom w:val="nil"/>
              <w:right w:val="nil"/>
            </w:tcBorders>
            <w:shd w:val="clear" w:color="auto" w:fill="auto"/>
            <w:noWrap/>
            <w:vAlign w:val="bottom"/>
          </w:tcPr>
          <w:p w:rsidR="003854D8" w:rsidRDefault="003854D8">
            <w:pPr>
              <w:rPr>
                <w:sz w:val="20"/>
                <w:szCs w:val="20"/>
              </w:rPr>
            </w:pPr>
          </w:p>
        </w:tc>
        <w:tc>
          <w:tcPr>
            <w:tcW w:w="804" w:type="dxa"/>
            <w:gridSpan w:val="2"/>
            <w:tcBorders>
              <w:top w:val="nil"/>
              <w:left w:val="nil"/>
              <w:bottom w:val="nil"/>
              <w:right w:val="nil"/>
            </w:tcBorders>
            <w:shd w:val="clear" w:color="auto" w:fill="auto"/>
            <w:noWrap/>
            <w:vAlign w:val="bottom"/>
          </w:tcPr>
          <w:p w:rsidR="003854D8" w:rsidRDefault="003854D8">
            <w:pPr>
              <w:rPr>
                <w:sz w:val="20"/>
                <w:szCs w:val="20"/>
              </w:rPr>
            </w:pPr>
          </w:p>
        </w:tc>
        <w:tc>
          <w:tcPr>
            <w:tcW w:w="804" w:type="dxa"/>
            <w:tcBorders>
              <w:top w:val="nil"/>
              <w:left w:val="nil"/>
              <w:bottom w:val="nil"/>
              <w:right w:val="nil"/>
            </w:tcBorders>
            <w:shd w:val="clear" w:color="auto" w:fill="auto"/>
            <w:noWrap/>
            <w:vAlign w:val="bottom"/>
          </w:tcPr>
          <w:p w:rsidR="003854D8" w:rsidRDefault="003854D8">
            <w:pPr>
              <w:rPr>
                <w:sz w:val="20"/>
                <w:szCs w:val="20"/>
              </w:rPr>
            </w:pPr>
          </w:p>
        </w:tc>
        <w:tc>
          <w:tcPr>
            <w:tcW w:w="1000" w:type="dxa"/>
            <w:gridSpan w:val="2"/>
            <w:tcBorders>
              <w:top w:val="nil"/>
              <w:left w:val="nil"/>
              <w:bottom w:val="nil"/>
              <w:right w:val="nil"/>
            </w:tcBorders>
            <w:shd w:val="clear" w:color="auto" w:fill="auto"/>
            <w:noWrap/>
            <w:vAlign w:val="bottom"/>
          </w:tcPr>
          <w:p w:rsidR="003854D8" w:rsidRDefault="003854D8">
            <w:pPr>
              <w:rPr>
                <w:sz w:val="20"/>
                <w:szCs w:val="20"/>
              </w:rPr>
            </w:pPr>
          </w:p>
        </w:tc>
        <w:tc>
          <w:tcPr>
            <w:tcW w:w="1080" w:type="dxa"/>
            <w:gridSpan w:val="2"/>
            <w:tcBorders>
              <w:top w:val="nil"/>
              <w:left w:val="nil"/>
              <w:bottom w:val="nil"/>
              <w:right w:val="nil"/>
            </w:tcBorders>
            <w:shd w:val="clear" w:color="auto" w:fill="auto"/>
            <w:noWrap/>
            <w:vAlign w:val="bottom"/>
          </w:tcPr>
          <w:p w:rsidR="003854D8" w:rsidRDefault="003854D8">
            <w:pPr>
              <w:rPr>
                <w:sz w:val="20"/>
                <w:szCs w:val="20"/>
              </w:rPr>
            </w:pPr>
          </w:p>
        </w:tc>
        <w:tc>
          <w:tcPr>
            <w:tcW w:w="1000" w:type="dxa"/>
            <w:gridSpan w:val="2"/>
            <w:tcBorders>
              <w:top w:val="nil"/>
              <w:left w:val="nil"/>
              <w:bottom w:val="nil"/>
              <w:right w:val="nil"/>
            </w:tcBorders>
            <w:shd w:val="clear" w:color="auto" w:fill="auto"/>
            <w:noWrap/>
            <w:vAlign w:val="bottom"/>
          </w:tcPr>
          <w:p w:rsidR="003854D8" w:rsidRDefault="003854D8">
            <w:pPr>
              <w:rPr>
                <w:sz w:val="20"/>
                <w:szCs w:val="20"/>
              </w:rPr>
            </w:pPr>
          </w:p>
        </w:tc>
        <w:tc>
          <w:tcPr>
            <w:tcW w:w="1060" w:type="dxa"/>
            <w:tcBorders>
              <w:top w:val="nil"/>
              <w:left w:val="nil"/>
              <w:bottom w:val="nil"/>
              <w:right w:val="nil"/>
            </w:tcBorders>
            <w:shd w:val="clear" w:color="auto" w:fill="auto"/>
            <w:noWrap/>
            <w:vAlign w:val="bottom"/>
          </w:tcPr>
          <w:p w:rsidR="003854D8" w:rsidRDefault="003854D8">
            <w:pPr>
              <w:rPr>
                <w:sz w:val="20"/>
                <w:szCs w:val="20"/>
              </w:rPr>
            </w:pPr>
          </w:p>
        </w:tc>
        <w:tc>
          <w:tcPr>
            <w:tcW w:w="1000" w:type="dxa"/>
            <w:gridSpan w:val="3"/>
            <w:tcBorders>
              <w:top w:val="nil"/>
              <w:left w:val="nil"/>
              <w:bottom w:val="nil"/>
              <w:right w:val="nil"/>
            </w:tcBorders>
            <w:shd w:val="clear" w:color="auto" w:fill="auto"/>
            <w:noWrap/>
            <w:vAlign w:val="bottom"/>
          </w:tcPr>
          <w:p w:rsidR="003854D8" w:rsidRDefault="003854D8">
            <w:pPr>
              <w:rPr>
                <w:sz w:val="20"/>
                <w:szCs w:val="20"/>
              </w:rPr>
            </w:pPr>
          </w:p>
        </w:tc>
      </w:tr>
      <w:tr w:rsidR="006C217D" w:rsidTr="006C217D">
        <w:trPr>
          <w:gridAfter w:val="1"/>
          <w:wAfter w:w="699" w:type="dxa"/>
          <w:trHeight w:val="405"/>
        </w:trPr>
        <w:tc>
          <w:tcPr>
            <w:tcW w:w="8461" w:type="dxa"/>
            <w:gridSpan w:val="15"/>
            <w:tcBorders>
              <w:top w:val="nil"/>
              <w:left w:val="nil"/>
              <w:bottom w:val="nil"/>
              <w:right w:val="nil"/>
            </w:tcBorders>
            <w:shd w:val="clear" w:color="000000" w:fill="FFFFFF"/>
            <w:noWrap/>
            <w:vAlign w:val="bottom"/>
            <w:hideMark/>
          </w:tcPr>
          <w:p w:rsidR="006C217D" w:rsidRDefault="006C217D">
            <w:pPr>
              <w:jc w:val="center"/>
              <w:rPr>
                <w:rFonts w:ascii="Arial" w:hAnsi="Arial" w:cs="Arial"/>
                <w:b/>
                <w:bCs/>
                <w:sz w:val="32"/>
                <w:szCs w:val="32"/>
              </w:rPr>
            </w:pPr>
            <w:r>
              <w:rPr>
                <w:rFonts w:ascii="Arial" w:hAnsi="Arial" w:cs="Arial"/>
                <w:b/>
                <w:bCs/>
                <w:sz w:val="32"/>
                <w:szCs w:val="32"/>
              </w:rPr>
              <w:lastRenderedPageBreak/>
              <w:t>Norsk Redaktørforening til balanse 2009 - 2012</w:t>
            </w:r>
          </w:p>
        </w:tc>
      </w:tr>
      <w:tr w:rsidR="006C217D" w:rsidTr="006C217D">
        <w:trPr>
          <w:gridAfter w:val="1"/>
          <w:wAfter w:w="699" w:type="dxa"/>
          <w:trHeight w:val="300"/>
        </w:trPr>
        <w:tc>
          <w:tcPr>
            <w:tcW w:w="2652" w:type="dxa"/>
            <w:gridSpan w:val="4"/>
            <w:tcBorders>
              <w:top w:val="nil"/>
              <w:left w:val="single" w:sz="4" w:space="0" w:color="auto"/>
              <w:bottom w:val="nil"/>
              <w:right w:val="nil"/>
            </w:tcBorders>
            <w:shd w:val="clear" w:color="auto" w:fill="auto"/>
            <w:noWrap/>
            <w:vAlign w:val="bottom"/>
            <w:hideMark/>
          </w:tcPr>
          <w:p w:rsidR="006C217D" w:rsidRDefault="006C217D">
            <w:pPr>
              <w:rPr>
                <w:rFonts w:ascii="Arial" w:hAnsi="Arial" w:cs="Arial"/>
                <w:sz w:val="18"/>
                <w:szCs w:val="18"/>
              </w:rPr>
            </w:pPr>
          </w:p>
        </w:tc>
        <w:tc>
          <w:tcPr>
            <w:tcW w:w="1850" w:type="dxa"/>
            <w:gridSpan w:val="3"/>
            <w:tcBorders>
              <w:top w:val="nil"/>
              <w:left w:val="nil"/>
              <w:bottom w:val="nil"/>
              <w:right w:val="nil"/>
            </w:tcBorders>
            <w:shd w:val="clear" w:color="auto" w:fill="auto"/>
            <w:noWrap/>
            <w:vAlign w:val="bottom"/>
            <w:hideMark/>
          </w:tcPr>
          <w:p w:rsidR="006C217D" w:rsidRDefault="006C217D">
            <w:pPr>
              <w:rPr>
                <w:rFonts w:ascii="Arial" w:hAnsi="Arial" w:cs="Arial"/>
                <w:sz w:val="18"/>
                <w:szCs w:val="18"/>
              </w:rPr>
            </w:pPr>
          </w:p>
        </w:tc>
        <w:tc>
          <w:tcPr>
            <w:tcW w:w="1256" w:type="dxa"/>
            <w:gridSpan w:val="2"/>
            <w:tcBorders>
              <w:top w:val="nil"/>
              <w:left w:val="nil"/>
              <w:bottom w:val="nil"/>
              <w:right w:val="nil"/>
            </w:tcBorders>
            <w:shd w:val="clear" w:color="auto" w:fill="auto"/>
            <w:noWrap/>
            <w:vAlign w:val="bottom"/>
            <w:hideMark/>
          </w:tcPr>
          <w:p w:rsidR="006C217D" w:rsidRDefault="006C217D">
            <w:pPr>
              <w:rPr>
                <w:rFonts w:ascii="Arial" w:hAnsi="Arial" w:cs="Arial"/>
                <w:sz w:val="18"/>
                <w:szCs w:val="18"/>
              </w:rPr>
            </w:pPr>
          </w:p>
        </w:tc>
        <w:tc>
          <w:tcPr>
            <w:tcW w:w="1256" w:type="dxa"/>
            <w:gridSpan w:val="2"/>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p>
        </w:tc>
        <w:tc>
          <w:tcPr>
            <w:tcW w:w="1256" w:type="dxa"/>
            <w:gridSpan w:val="3"/>
            <w:tcBorders>
              <w:top w:val="nil"/>
              <w:left w:val="nil"/>
              <w:bottom w:val="nil"/>
              <w:right w:val="nil"/>
            </w:tcBorders>
            <w:shd w:val="clear" w:color="000000" w:fill="FFFFFF"/>
            <w:noWrap/>
            <w:vAlign w:val="bottom"/>
            <w:hideMark/>
          </w:tcPr>
          <w:p w:rsidR="006C217D" w:rsidRDefault="006C217D">
            <w:pPr>
              <w:rPr>
                <w:rFonts w:ascii="Arial" w:hAnsi="Arial" w:cs="Arial"/>
                <w:sz w:val="22"/>
                <w:szCs w:val="22"/>
              </w:rPr>
            </w:pPr>
            <w:r>
              <w:rPr>
                <w:rFonts w:ascii="Arial" w:hAnsi="Arial" w:cs="Arial"/>
                <w:sz w:val="22"/>
                <w:szCs w:val="22"/>
              </w:rPr>
              <w:t> </w:t>
            </w:r>
          </w:p>
        </w:tc>
        <w:tc>
          <w:tcPr>
            <w:tcW w:w="191" w:type="dxa"/>
            <w:tcBorders>
              <w:top w:val="nil"/>
              <w:left w:val="nil"/>
              <w:bottom w:val="nil"/>
              <w:right w:val="nil"/>
            </w:tcBorders>
            <w:shd w:val="clear" w:color="000000" w:fill="FFFFFF"/>
            <w:noWrap/>
            <w:vAlign w:val="bottom"/>
            <w:hideMark/>
          </w:tcPr>
          <w:p w:rsidR="006C217D" w:rsidRDefault="006C217D">
            <w:pPr>
              <w:rPr>
                <w:rFonts w:ascii="Arial" w:hAnsi="Arial" w:cs="Arial"/>
                <w:sz w:val="20"/>
                <w:szCs w:val="20"/>
              </w:rPr>
            </w:pPr>
            <w:r>
              <w:rPr>
                <w:rFonts w:ascii="Arial" w:hAnsi="Arial" w:cs="Arial"/>
                <w:sz w:val="20"/>
                <w:szCs w:val="20"/>
              </w:rPr>
              <w:t> </w:t>
            </w:r>
          </w:p>
        </w:tc>
      </w:tr>
      <w:tr w:rsidR="006C217D" w:rsidTr="006C217D">
        <w:trPr>
          <w:gridAfter w:val="1"/>
          <w:wAfter w:w="699" w:type="dxa"/>
          <w:trHeight w:val="345"/>
        </w:trPr>
        <w:tc>
          <w:tcPr>
            <w:tcW w:w="2652" w:type="dxa"/>
            <w:gridSpan w:val="4"/>
            <w:tcBorders>
              <w:top w:val="double" w:sz="6" w:space="0" w:color="auto"/>
              <w:left w:val="nil"/>
              <w:bottom w:val="double" w:sz="6" w:space="0" w:color="auto"/>
              <w:right w:val="nil"/>
            </w:tcBorders>
            <w:shd w:val="clear" w:color="000000" w:fill="FFFFFF"/>
            <w:noWrap/>
            <w:vAlign w:val="bottom"/>
            <w:hideMark/>
          </w:tcPr>
          <w:p w:rsidR="006C217D" w:rsidRDefault="006C217D">
            <w:pPr>
              <w:rPr>
                <w:rFonts w:ascii="Arial" w:hAnsi="Arial" w:cs="Arial"/>
                <w:b/>
                <w:bCs/>
              </w:rPr>
            </w:pPr>
            <w:r>
              <w:rPr>
                <w:rFonts w:ascii="Arial" w:hAnsi="Arial" w:cs="Arial"/>
                <w:b/>
                <w:bCs/>
              </w:rPr>
              <w:t>BALANSE</w:t>
            </w:r>
          </w:p>
        </w:tc>
        <w:tc>
          <w:tcPr>
            <w:tcW w:w="1850" w:type="dxa"/>
            <w:gridSpan w:val="3"/>
            <w:tcBorders>
              <w:top w:val="double" w:sz="6" w:space="0" w:color="auto"/>
              <w:left w:val="nil"/>
              <w:bottom w:val="double" w:sz="6" w:space="0" w:color="auto"/>
              <w:right w:val="nil"/>
            </w:tcBorders>
            <w:shd w:val="clear" w:color="000000" w:fill="FFFFFF"/>
            <w:noWrap/>
            <w:vAlign w:val="bottom"/>
            <w:hideMark/>
          </w:tcPr>
          <w:p w:rsidR="006C217D" w:rsidRDefault="006C217D">
            <w:pPr>
              <w:jc w:val="right"/>
              <w:rPr>
                <w:rFonts w:ascii="Arial" w:hAnsi="Arial" w:cs="Arial"/>
                <w:b/>
                <w:bCs/>
              </w:rPr>
            </w:pPr>
            <w:r>
              <w:rPr>
                <w:rFonts w:ascii="Arial" w:hAnsi="Arial" w:cs="Arial"/>
                <w:b/>
                <w:bCs/>
              </w:rPr>
              <w:t>31.8.12</w:t>
            </w:r>
          </w:p>
        </w:tc>
        <w:tc>
          <w:tcPr>
            <w:tcW w:w="1256" w:type="dxa"/>
            <w:gridSpan w:val="2"/>
            <w:tcBorders>
              <w:top w:val="double" w:sz="6" w:space="0" w:color="auto"/>
              <w:left w:val="nil"/>
              <w:bottom w:val="double" w:sz="6" w:space="0" w:color="auto"/>
              <w:right w:val="nil"/>
            </w:tcBorders>
            <w:shd w:val="clear" w:color="000000" w:fill="FFFFFF"/>
            <w:noWrap/>
            <w:vAlign w:val="bottom"/>
            <w:hideMark/>
          </w:tcPr>
          <w:p w:rsidR="006C217D" w:rsidRDefault="006C217D">
            <w:pPr>
              <w:jc w:val="right"/>
              <w:rPr>
                <w:rFonts w:ascii="Arial" w:hAnsi="Arial" w:cs="Arial"/>
                <w:b/>
                <w:bCs/>
              </w:rPr>
            </w:pPr>
            <w:r>
              <w:rPr>
                <w:rFonts w:ascii="Arial" w:hAnsi="Arial" w:cs="Arial"/>
                <w:b/>
                <w:bCs/>
              </w:rPr>
              <w:t>2011</w:t>
            </w:r>
          </w:p>
        </w:tc>
        <w:tc>
          <w:tcPr>
            <w:tcW w:w="1256" w:type="dxa"/>
            <w:gridSpan w:val="2"/>
            <w:tcBorders>
              <w:top w:val="double" w:sz="6" w:space="0" w:color="auto"/>
              <w:left w:val="nil"/>
              <w:bottom w:val="double" w:sz="6" w:space="0" w:color="auto"/>
              <w:right w:val="nil"/>
            </w:tcBorders>
            <w:shd w:val="clear" w:color="000000" w:fill="FFFFFF"/>
            <w:noWrap/>
            <w:vAlign w:val="bottom"/>
            <w:hideMark/>
          </w:tcPr>
          <w:p w:rsidR="006C217D" w:rsidRDefault="006C217D">
            <w:pPr>
              <w:jc w:val="right"/>
              <w:rPr>
                <w:rFonts w:ascii="Arial" w:hAnsi="Arial" w:cs="Arial"/>
                <w:b/>
                <w:bCs/>
              </w:rPr>
            </w:pPr>
            <w:r>
              <w:rPr>
                <w:rFonts w:ascii="Arial" w:hAnsi="Arial" w:cs="Arial"/>
                <w:b/>
                <w:bCs/>
              </w:rPr>
              <w:t>2010</w:t>
            </w:r>
          </w:p>
        </w:tc>
        <w:tc>
          <w:tcPr>
            <w:tcW w:w="1256" w:type="dxa"/>
            <w:gridSpan w:val="3"/>
            <w:tcBorders>
              <w:top w:val="double" w:sz="6" w:space="0" w:color="auto"/>
              <w:left w:val="nil"/>
              <w:bottom w:val="double" w:sz="6" w:space="0" w:color="auto"/>
              <w:right w:val="nil"/>
            </w:tcBorders>
            <w:shd w:val="clear" w:color="000000" w:fill="FFFFFF"/>
            <w:noWrap/>
            <w:vAlign w:val="bottom"/>
            <w:hideMark/>
          </w:tcPr>
          <w:p w:rsidR="006C217D" w:rsidRDefault="006C217D">
            <w:pPr>
              <w:jc w:val="right"/>
              <w:rPr>
                <w:rFonts w:ascii="Arial" w:hAnsi="Arial" w:cs="Arial"/>
                <w:b/>
                <w:bCs/>
              </w:rPr>
            </w:pPr>
            <w:r>
              <w:rPr>
                <w:rFonts w:ascii="Arial" w:hAnsi="Arial" w:cs="Arial"/>
                <w:b/>
                <w:bCs/>
              </w:rPr>
              <w:t>2009</w:t>
            </w:r>
          </w:p>
        </w:tc>
        <w:tc>
          <w:tcPr>
            <w:tcW w:w="191" w:type="dxa"/>
            <w:tcBorders>
              <w:top w:val="nil"/>
              <w:left w:val="nil"/>
              <w:bottom w:val="nil"/>
              <w:right w:val="nil"/>
            </w:tcBorders>
            <w:shd w:val="clear" w:color="000000" w:fill="FFFFFF"/>
            <w:noWrap/>
            <w:vAlign w:val="bottom"/>
            <w:hideMark/>
          </w:tcPr>
          <w:p w:rsidR="006C217D" w:rsidRDefault="006C217D">
            <w:pPr>
              <w:rPr>
                <w:rFonts w:ascii="Arial" w:hAnsi="Arial" w:cs="Arial"/>
                <w:sz w:val="20"/>
                <w:szCs w:val="20"/>
              </w:rPr>
            </w:pPr>
            <w:r>
              <w:rPr>
                <w:rFonts w:ascii="Arial" w:hAnsi="Arial" w:cs="Arial"/>
                <w:sz w:val="20"/>
                <w:szCs w:val="20"/>
              </w:rPr>
              <w:t> </w:t>
            </w:r>
          </w:p>
        </w:tc>
      </w:tr>
    </w:tbl>
    <w:p w:rsidR="003854D8" w:rsidRDefault="003854D8"/>
    <w:tbl>
      <w:tblPr>
        <w:tblW w:w="8300" w:type="dxa"/>
        <w:tblInd w:w="55" w:type="dxa"/>
        <w:tblCellMar>
          <w:left w:w="70" w:type="dxa"/>
          <w:right w:w="70" w:type="dxa"/>
        </w:tblCellMar>
        <w:tblLook w:val="04A0"/>
      </w:tblPr>
      <w:tblGrid>
        <w:gridCol w:w="2860"/>
        <w:gridCol w:w="1440"/>
        <w:gridCol w:w="1400"/>
        <w:gridCol w:w="1300"/>
        <w:gridCol w:w="1300"/>
      </w:tblGrid>
      <w:tr w:rsidR="006C217D" w:rsidTr="006C217D">
        <w:trPr>
          <w:trHeight w:val="315"/>
        </w:trPr>
        <w:tc>
          <w:tcPr>
            <w:tcW w:w="2860" w:type="dxa"/>
            <w:tcBorders>
              <w:top w:val="nil"/>
              <w:left w:val="nil"/>
              <w:bottom w:val="nil"/>
              <w:right w:val="nil"/>
            </w:tcBorders>
            <w:shd w:val="clear" w:color="000000" w:fill="FFFFFF"/>
            <w:noWrap/>
            <w:vAlign w:val="bottom"/>
            <w:hideMark/>
          </w:tcPr>
          <w:p w:rsidR="006C217D" w:rsidRDefault="006C217D">
            <w:pPr>
              <w:rPr>
                <w:rFonts w:ascii="Arial" w:hAnsi="Arial" w:cs="Arial"/>
                <w:b/>
                <w:bCs/>
                <w:sz w:val="22"/>
                <w:szCs w:val="22"/>
              </w:rPr>
            </w:pPr>
            <w:r>
              <w:rPr>
                <w:rFonts w:ascii="Arial" w:hAnsi="Arial" w:cs="Arial"/>
                <w:b/>
                <w:bCs/>
                <w:sz w:val="22"/>
                <w:szCs w:val="22"/>
              </w:rPr>
              <w:t>Eiendeler</w:t>
            </w:r>
          </w:p>
        </w:tc>
        <w:tc>
          <w:tcPr>
            <w:tcW w:w="144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b/>
                <w:bCs/>
                <w:sz w:val="22"/>
                <w:szCs w:val="22"/>
              </w:rPr>
            </w:pPr>
            <w:r>
              <w:rPr>
                <w:rFonts w:ascii="Arial" w:hAnsi="Arial" w:cs="Arial"/>
                <w:b/>
                <w:bCs/>
                <w:sz w:val="22"/>
                <w:szCs w:val="22"/>
              </w:rPr>
              <w:t> </w:t>
            </w:r>
          </w:p>
        </w:tc>
        <w:tc>
          <w:tcPr>
            <w:tcW w:w="14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b/>
                <w:bCs/>
                <w:sz w:val="22"/>
                <w:szCs w:val="22"/>
              </w:rPr>
            </w:pPr>
            <w:r>
              <w:rPr>
                <w:rFonts w:ascii="Arial" w:hAnsi="Arial" w:cs="Arial"/>
                <w:b/>
                <w:bCs/>
                <w:sz w:val="22"/>
                <w:szCs w:val="22"/>
              </w:rPr>
              <w:t> </w:t>
            </w:r>
          </w:p>
        </w:tc>
        <w:tc>
          <w:tcPr>
            <w:tcW w:w="13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b/>
                <w:bCs/>
                <w:sz w:val="22"/>
                <w:szCs w:val="22"/>
              </w:rPr>
            </w:pPr>
            <w:r>
              <w:rPr>
                <w:rFonts w:ascii="Arial" w:hAnsi="Arial" w:cs="Arial"/>
                <w:b/>
                <w:bCs/>
                <w:sz w:val="22"/>
                <w:szCs w:val="22"/>
              </w:rPr>
              <w:t> </w:t>
            </w:r>
          </w:p>
        </w:tc>
        <w:tc>
          <w:tcPr>
            <w:tcW w:w="13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b/>
                <w:bCs/>
                <w:sz w:val="22"/>
                <w:szCs w:val="22"/>
              </w:rPr>
            </w:pPr>
            <w:r>
              <w:rPr>
                <w:rFonts w:ascii="Arial" w:hAnsi="Arial" w:cs="Arial"/>
                <w:b/>
                <w:bCs/>
                <w:sz w:val="22"/>
                <w:szCs w:val="22"/>
              </w:rPr>
              <w:t> </w:t>
            </w:r>
          </w:p>
        </w:tc>
      </w:tr>
      <w:tr w:rsidR="006C217D" w:rsidTr="006C217D">
        <w:trPr>
          <w:trHeight w:val="300"/>
        </w:trPr>
        <w:tc>
          <w:tcPr>
            <w:tcW w:w="2860" w:type="dxa"/>
            <w:tcBorders>
              <w:top w:val="nil"/>
              <w:left w:val="nil"/>
              <w:bottom w:val="nil"/>
              <w:right w:val="nil"/>
            </w:tcBorders>
            <w:shd w:val="clear" w:color="000000" w:fill="FFFFFF"/>
            <w:noWrap/>
            <w:vAlign w:val="bottom"/>
            <w:hideMark/>
          </w:tcPr>
          <w:p w:rsidR="006C217D" w:rsidRDefault="006C217D">
            <w:pPr>
              <w:rPr>
                <w:rFonts w:ascii="Arial" w:hAnsi="Arial" w:cs="Arial"/>
                <w:b/>
                <w:bCs/>
                <w:sz w:val="22"/>
                <w:szCs w:val="22"/>
              </w:rPr>
            </w:pPr>
            <w:r>
              <w:rPr>
                <w:rFonts w:ascii="Arial" w:hAnsi="Arial" w:cs="Arial"/>
                <w:b/>
                <w:bCs/>
                <w:sz w:val="22"/>
                <w:szCs w:val="22"/>
              </w:rPr>
              <w:t>Anleggsmiddel</w:t>
            </w:r>
          </w:p>
        </w:tc>
        <w:tc>
          <w:tcPr>
            <w:tcW w:w="144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b/>
                <w:bCs/>
                <w:sz w:val="22"/>
                <w:szCs w:val="22"/>
              </w:rPr>
            </w:pPr>
            <w:r>
              <w:rPr>
                <w:rFonts w:ascii="Arial" w:hAnsi="Arial" w:cs="Arial"/>
                <w:b/>
                <w:bCs/>
                <w:sz w:val="22"/>
                <w:szCs w:val="22"/>
              </w:rPr>
              <w:t> </w:t>
            </w:r>
          </w:p>
        </w:tc>
        <w:tc>
          <w:tcPr>
            <w:tcW w:w="14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b/>
                <w:bCs/>
                <w:sz w:val="22"/>
                <w:szCs w:val="22"/>
              </w:rPr>
            </w:pPr>
            <w:r>
              <w:rPr>
                <w:rFonts w:ascii="Arial" w:hAnsi="Arial" w:cs="Arial"/>
                <w:b/>
                <w:bCs/>
                <w:sz w:val="22"/>
                <w:szCs w:val="22"/>
              </w:rPr>
              <w:t> </w:t>
            </w:r>
          </w:p>
        </w:tc>
        <w:tc>
          <w:tcPr>
            <w:tcW w:w="13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b/>
                <w:bCs/>
                <w:sz w:val="22"/>
                <w:szCs w:val="22"/>
              </w:rPr>
            </w:pPr>
            <w:r>
              <w:rPr>
                <w:rFonts w:ascii="Arial" w:hAnsi="Arial" w:cs="Arial"/>
                <w:b/>
                <w:bCs/>
                <w:sz w:val="22"/>
                <w:szCs w:val="22"/>
              </w:rPr>
              <w:t> </w:t>
            </w:r>
          </w:p>
        </w:tc>
        <w:tc>
          <w:tcPr>
            <w:tcW w:w="13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b/>
                <w:bCs/>
                <w:sz w:val="22"/>
                <w:szCs w:val="22"/>
              </w:rPr>
            </w:pPr>
            <w:r>
              <w:rPr>
                <w:rFonts w:ascii="Arial" w:hAnsi="Arial" w:cs="Arial"/>
                <w:b/>
                <w:bCs/>
                <w:sz w:val="22"/>
                <w:szCs w:val="22"/>
              </w:rPr>
              <w:t> </w:t>
            </w:r>
          </w:p>
        </w:tc>
      </w:tr>
      <w:tr w:rsidR="006C217D" w:rsidTr="006C217D">
        <w:trPr>
          <w:trHeight w:val="285"/>
        </w:trPr>
        <w:tc>
          <w:tcPr>
            <w:tcW w:w="2860" w:type="dxa"/>
            <w:tcBorders>
              <w:top w:val="nil"/>
              <w:left w:val="nil"/>
              <w:bottom w:val="nil"/>
              <w:right w:val="nil"/>
            </w:tcBorders>
            <w:shd w:val="clear" w:color="000000" w:fill="FFFFFF"/>
            <w:noWrap/>
            <w:vAlign w:val="bottom"/>
            <w:hideMark/>
          </w:tcPr>
          <w:p w:rsidR="006C217D" w:rsidRDefault="006C217D">
            <w:pPr>
              <w:rPr>
                <w:rFonts w:ascii="Arial" w:hAnsi="Arial" w:cs="Arial"/>
                <w:sz w:val="22"/>
                <w:szCs w:val="22"/>
              </w:rPr>
            </w:pPr>
            <w:r>
              <w:rPr>
                <w:rFonts w:ascii="Arial" w:hAnsi="Arial" w:cs="Arial"/>
                <w:sz w:val="22"/>
                <w:szCs w:val="22"/>
              </w:rPr>
              <w:t>Kunst</w:t>
            </w:r>
          </w:p>
        </w:tc>
        <w:tc>
          <w:tcPr>
            <w:tcW w:w="144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12 500</w:t>
            </w:r>
          </w:p>
        </w:tc>
        <w:tc>
          <w:tcPr>
            <w:tcW w:w="14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12 500</w:t>
            </w:r>
          </w:p>
        </w:tc>
        <w:tc>
          <w:tcPr>
            <w:tcW w:w="13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12 500</w:t>
            </w:r>
          </w:p>
        </w:tc>
        <w:tc>
          <w:tcPr>
            <w:tcW w:w="13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12 500</w:t>
            </w:r>
          </w:p>
        </w:tc>
      </w:tr>
      <w:tr w:rsidR="006C217D" w:rsidTr="006C217D">
        <w:trPr>
          <w:trHeight w:val="285"/>
        </w:trPr>
        <w:tc>
          <w:tcPr>
            <w:tcW w:w="2860" w:type="dxa"/>
            <w:tcBorders>
              <w:top w:val="nil"/>
              <w:left w:val="nil"/>
              <w:bottom w:val="nil"/>
              <w:right w:val="nil"/>
            </w:tcBorders>
            <w:shd w:val="clear" w:color="000000" w:fill="FFFFFF"/>
            <w:noWrap/>
            <w:vAlign w:val="bottom"/>
            <w:hideMark/>
          </w:tcPr>
          <w:p w:rsidR="006C217D" w:rsidRDefault="006C217D">
            <w:pPr>
              <w:rPr>
                <w:rFonts w:ascii="Arial" w:hAnsi="Arial" w:cs="Arial"/>
                <w:sz w:val="22"/>
                <w:szCs w:val="22"/>
              </w:rPr>
            </w:pPr>
            <w:r>
              <w:rPr>
                <w:rFonts w:ascii="Arial" w:hAnsi="Arial" w:cs="Arial"/>
                <w:sz w:val="22"/>
                <w:szCs w:val="22"/>
              </w:rPr>
              <w:t>Datautstyr</w:t>
            </w:r>
          </w:p>
        </w:tc>
        <w:tc>
          <w:tcPr>
            <w:tcW w:w="144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43 769</w:t>
            </w:r>
          </w:p>
        </w:tc>
        <w:tc>
          <w:tcPr>
            <w:tcW w:w="14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51 410</w:t>
            </w:r>
          </w:p>
        </w:tc>
        <w:tc>
          <w:tcPr>
            <w:tcW w:w="13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58 820</w:t>
            </w:r>
          </w:p>
        </w:tc>
        <w:tc>
          <w:tcPr>
            <w:tcW w:w="13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41 763</w:t>
            </w:r>
          </w:p>
        </w:tc>
      </w:tr>
      <w:tr w:rsidR="006C217D" w:rsidTr="006C217D">
        <w:trPr>
          <w:trHeight w:val="285"/>
        </w:trPr>
        <w:tc>
          <w:tcPr>
            <w:tcW w:w="2860" w:type="dxa"/>
            <w:tcBorders>
              <w:top w:val="nil"/>
              <w:left w:val="nil"/>
              <w:bottom w:val="nil"/>
              <w:right w:val="nil"/>
            </w:tcBorders>
            <w:shd w:val="clear" w:color="000000" w:fill="FFFFFF"/>
            <w:noWrap/>
            <w:vAlign w:val="bottom"/>
            <w:hideMark/>
          </w:tcPr>
          <w:p w:rsidR="006C217D" w:rsidRDefault="006C217D">
            <w:pPr>
              <w:rPr>
                <w:rFonts w:ascii="Arial" w:hAnsi="Arial" w:cs="Arial"/>
                <w:sz w:val="22"/>
                <w:szCs w:val="22"/>
              </w:rPr>
            </w:pPr>
            <w:r>
              <w:rPr>
                <w:rFonts w:ascii="Arial" w:hAnsi="Arial" w:cs="Arial"/>
                <w:sz w:val="22"/>
                <w:szCs w:val="22"/>
              </w:rPr>
              <w:t>Webutvikling</w:t>
            </w:r>
          </w:p>
        </w:tc>
        <w:tc>
          <w:tcPr>
            <w:tcW w:w="144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121 051</w:t>
            </w:r>
          </w:p>
        </w:tc>
        <w:tc>
          <w:tcPr>
            <w:tcW w:w="14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109 617</w:t>
            </w:r>
          </w:p>
        </w:tc>
        <w:tc>
          <w:tcPr>
            <w:tcW w:w="13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0</w:t>
            </w:r>
          </w:p>
        </w:tc>
        <w:tc>
          <w:tcPr>
            <w:tcW w:w="13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0</w:t>
            </w:r>
          </w:p>
        </w:tc>
      </w:tr>
      <w:tr w:rsidR="006C217D" w:rsidTr="006C217D">
        <w:trPr>
          <w:trHeight w:val="285"/>
        </w:trPr>
        <w:tc>
          <w:tcPr>
            <w:tcW w:w="2860" w:type="dxa"/>
            <w:tcBorders>
              <w:top w:val="nil"/>
              <w:left w:val="nil"/>
              <w:bottom w:val="nil"/>
              <w:right w:val="nil"/>
            </w:tcBorders>
            <w:shd w:val="clear" w:color="000000" w:fill="FFFFFF"/>
            <w:noWrap/>
            <w:vAlign w:val="bottom"/>
            <w:hideMark/>
          </w:tcPr>
          <w:p w:rsidR="006C217D" w:rsidRDefault="006C217D">
            <w:pPr>
              <w:rPr>
                <w:rFonts w:ascii="Arial" w:hAnsi="Arial" w:cs="Arial"/>
                <w:sz w:val="22"/>
                <w:szCs w:val="22"/>
              </w:rPr>
            </w:pPr>
            <w:r>
              <w:rPr>
                <w:rFonts w:ascii="Arial" w:hAnsi="Arial" w:cs="Arial"/>
                <w:sz w:val="22"/>
                <w:szCs w:val="22"/>
              </w:rPr>
              <w:t>Bil</w:t>
            </w:r>
          </w:p>
        </w:tc>
        <w:tc>
          <w:tcPr>
            <w:tcW w:w="144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316 372</w:t>
            </w:r>
          </w:p>
        </w:tc>
        <w:tc>
          <w:tcPr>
            <w:tcW w:w="14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415 108</w:t>
            </w:r>
          </w:p>
        </w:tc>
        <w:tc>
          <w:tcPr>
            <w:tcW w:w="13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563 208</w:t>
            </w:r>
          </w:p>
        </w:tc>
        <w:tc>
          <w:tcPr>
            <w:tcW w:w="13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419 200</w:t>
            </w:r>
          </w:p>
        </w:tc>
      </w:tr>
      <w:tr w:rsidR="006C217D" w:rsidTr="006C217D">
        <w:trPr>
          <w:trHeight w:val="300"/>
        </w:trPr>
        <w:tc>
          <w:tcPr>
            <w:tcW w:w="2860" w:type="dxa"/>
            <w:tcBorders>
              <w:top w:val="single" w:sz="4" w:space="0" w:color="auto"/>
              <w:left w:val="nil"/>
              <w:bottom w:val="nil"/>
              <w:right w:val="nil"/>
            </w:tcBorders>
            <w:shd w:val="clear" w:color="000000" w:fill="FFFFFF"/>
            <w:noWrap/>
            <w:vAlign w:val="bottom"/>
            <w:hideMark/>
          </w:tcPr>
          <w:p w:rsidR="006C217D" w:rsidRDefault="006C217D">
            <w:pPr>
              <w:rPr>
                <w:rFonts w:ascii="Arial" w:hAnsi="Arial" w:cs="Arial"/>
                <w:b/>
                <w:bCs/>
                <w:sz w:val="22"/>
                <w:szCs w:val="22"/>
              </w:rPr>
            </w:pPr>
            <w:r>
              <w:rPr>
                <w:rFonts w:ascii="Arial" w:hAnsi="Arial" w:cs="Arial"/>
                <w:b/>
                <w:bCs/>
                <w:sz w:val="22"/>
                <w:szCs w:val="22"/>
              </w:rPr>
              <w:t>Sum anleggsmiddel</w:t>
            </w:r>
          </w:p>
        </w:tc>
        <w:tc>
          <w:tcPr>
            <w:tcW w:w="1440" w:type="dxa"/>
            <w:tcBorders>
              <w:top w:val="single" w:sz="4" w:space="0" w:color="auto"/>
              <w:left w:val="nil"/>
              <w:bottom w:val="nil"/>
              <w:right w:val="nil"/>
            </w:tcBorders>
            <w:shd w:val="clear" w:color="000000" w:fill="FFFFFF"/>
            <w:noWrap/>
            <w:vAlign w:val="bottom"/>
            <w:hideMark/>
          </w:tcPr>
          <w:p w:rsidR="006C217D" w:rsidRDefault="006C217D">
            <w:pPr>
              <w:jc w:val="right"/>
              <w:rPr>
                <w:rFonts w:ascii="Arial" w:hAnsi="Arial" w:cs="Arial"/>
                <w:b/>
                <w:bCs/>
                <w:sz w:val="22"/>
                <w:szCs w:val="22"/>
              </w:rPr>
            </w:pPr>
            <w:r>
              <w:rPr>
                <w:rFonts w:ascii="Arial" w:hAnsi="Arial" w:cs="Arial"/>
                <w:b/>
                <w:bCs/>
                <w:sz w:val="22"/>
                <w:szCs w:val="22"/>
              </w:rPr>
              <w:t>493 692</w:t>
            </w:r>
          </w:p>
        </w:tc>
        <w:tc>
          <w:tcPr>
            <w:tcW w:w="1400" w:type="dxa"/>
            <w:tcBorders>
              <w:top w:val="single" w:sz="4" w:space="0" w:color="auto"/>
              <w:left w:val="nil"/>
              <w:bottom w:val="nil"/>
              <w:right w:val="nil"/>
            </w:tcBorders>
            <w:shd w:val="clear" w:color="000000" w:fill="FFFFFF"/>
            <w:noWrap/>
            <w:vAlign w:val="bottom"/>
            <w:hideMark/>
          </w:tcPr>
          <w:p w:rsidR="006C217D" w:rsidRDefault="006C217D">
            <w:pPr>
              <w:jc w:val="right"/>
              <w:rPr>
                <w:rFonts w:ascii="Arial" w:hAnsi="Arial" w:cs="Arial"/>
                <w:b/>
                <w:bCs/>
                <w:sz w:val="22"/>
                <w:szCs w:val="22"/>
              </w:rPr>
            </w:pPr>
            <w:r>
              <w:rPr>
                <w:rFonts w:ascii="Arial" w:hAnsi="Arial" w:cs="Arial"/>
                <w:b/>
                <w:bCs/>
                <w:sz w:val="22"/>
                <w:szCs w:val="22"/>
              </w:rPr>
              <w:t>588 635</w:t>
            </w:r>
          </w:p>
        </w:tc>
        <w:tc>
          <w:tcPr>
            <w:tcW w:w="1300" w:type="dxa"/>
            <w:tcBorders>
              <w:top w:val="single" w:sz="4" w:space="0" w:color="auto"/>
              <w:left w:val="nil"/>
              <w:bottom w:val="nil"/>
              <w:right w:val="nil"/>
            </w:tcBorders>
            <w:shd w:val="clear" w:color="000000" w:fill="FFFFFF"/>
            <w:noWrap/>
            <w:vAlign w:val="bottom"/>
            <w:hideMark/>
          </w:tcPr>
          <w:p w:rsidR="006C217D" w:rsidRDefault="006C217D">
            <w:pPr>
              <w:jc w:val="right"/>
              <w:rPr>
                <w:rFonts w:ascii="Arial" w:hAnsi="Arial" w:cs="Arial"/>
                <w:b/>
                <w:bCs/>
                <w:sz w:val="22"/>
                <w:szCs w:val="22"/>
              </w:rPr>
            </w:pPr>
            <w:r>
              <w:rPr>
                <w:rFonts w:ascii="Arial" w:hAnsi="Arial" w:cs="Arial"/>
                <w:b/>
                <w:bCs/>
                <w:sz w:val="22"/>
                <w:szCs w:val="22"/>
              </w:rPr>
              <w:t>634 528</w:t>
            </w:r>
          </w:p>
        </w:tc>
        <w:tc>
          <w:tcPr>
            <w:tcW w:w="1300" w:type="dxa"/>
            <w:tcBorders>
              <w:top w:val="single" w:sz="4" w:space="0" w:color="auto"/>
              <w:left w:val="nil"/>
              <w:bottom w:val="nil"/>
              <w:right w:val="nil"/>
            </w:tcBorders>
            <w:shd w:val="clear" w:color="000000" w:fill="FFFFFF"/>
            <w:noWrap/>
            <w:vAlign w:val="bottom"/>
            <w:hideMark/>
          </w:tcPr>
          <w:p w:rsidR="006C217D" w:rsidRDefault="006C217D">
            <w:pPr>
              <w:jc w:val="right"/>
              <w:rPr>
                <w:rFonts w:ascii="Arial" w:hAnsi="Arial" w:cs="Arial"/>
                <w:b/>
                <w:bCs/>
                <w:sz w:val="22"/>
                <w:szCs w:val="22"/>
              </w:rPr>
            </w:pPr>
            <w:r>
              <w:rPr>
                <w:rFonts w:ascii="Arial" w:hAnsi="Arial" w:cs="Arial"/>
                <w:b/>
                <w:bCs/>
                <w:sz w:val="22"/>
                <w:szCs w:val="22"/>
              </w:rPr>
              <w:t>473 463</w:t>
            </w:r>
          </w:p>
        </w:tc>
      </w:tr>
      <w:tr w:rsidR="006C217D" w:rsidTr="006C217D">
        <w:trPr>
          <w:trHeight w:val="285"/>
        </w:trPr>
        <w:tc>
          <w:tcPr>
            <w:tcW w:w="2860" w:type="dxa"/>
            <w:tcBorders>
              <w:top w:val="nil"/>
              <w:left w:val="nil"/>
              <w:bottom w:val="nil"/>
              <w:right w:val="nil"/>
            </w:tcBorders>
            <w:shd w:val="clear" w:color="000000" w:fill="FFFFFF"/>
            <w:noWrap/>
            <w:vAlign w:val="bottom"/>
            <w:hideMark/>
          </w:tcPr>
          <w:p w:rsidR="006C217D" w:rsidRDefault="006C217D">
            <w:pPr>
              <w:rPr>
                <w:rFonts w:ascii="Arial" w:hAnsi="Arial" w:cs="Arial"/>
                <w:sz w:val="22"/>
                <w:szCs w:val="22"/>
              </w:rPr>
            </w:pPr>
            <w:r>
              <w:rPr>
                <w:rFonts w:ascii="Arial" w:hAnsi="Arial" w:cs="Arial"/>
                <w:sz w:val="22"/>
                <w:szCs w:val="22"/>
              </w:rPr>
              <w:t> </w:t>
            </w:r>
          </w:p>
        </w:tc>
        <w:tc>
          <w:tcPr>
            <w:tcW w:w="144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 </w:t>
            </w:r>
          </w:p>
        </w:tc>
        <w:tc>
          <w:tcPr>
            <w:tcW w:w="14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 </w:t>
            </w:r>
          </w:p>
        </w:tc>
        <w:tc>
          <w:tcPr>
            <w:tcW w:w="13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 </w:t>
            </w:r>
          </w:p>
        </w:tc>
        <w:tc>
          <w:tcPr>
            <w:tcW w:w="13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 </w:t>
            </w:r>
          </w:p>
        </w:tc>
      </w:tr>
      <w:tr w:rsidR="006C217D" w:rsidTr="006C217D">
        <w:trPr>
          <w:trHeight w:val="300"/>
        </w:trPr>
        <w:tc>
          <w:tcPr>
            <w:tcW w:w="2860" w:type="dxa"/>
            <w:tcBorders>
              <w:top w:val="nil"/>
              <w:left w:val="nil"/>
              <w:bottom w:val="nil"/>
              <w:right w:val="nil"/>
            </w:tcBorders>
            <w:shd w:val="clear" w:color="000000" w:fill="FFFFFF"/>
            <w:noWrap/>
            <w:vAlign w:val="bottom"/>
            <w:hideMark/>
          </w:tcPr>
          <w:p w:rsidR="006C217D" w:rsidRDefault="006C217D">
            <w:pPr>
              <w:rPr>
                <w:rFonts w:ascii="Arial" w:hAnsi="Arial" w:cs="Arial"/>
                <w:b/>
                <w:bCs/>
                <w:sz w:val="22"/>
                <w:szCs w:val="22"/>
              </w:rPr>
            </w:pPr>
            <w:r>
              <w:rPr>
                <w:rFonts w:ascii="Arial" w:hAnsi="Arial" w:cs="Arial"/>
                <w:b/>
                <w:bCs/>
                <w:sz w:val="22"/>
                <w:szCs w:val="22"/>
              </w:rPr>
              <w:t>Omløpsmiddel</w:t>
            </w:r>
          </w:p>
        </w:tc>
        <w:tc>
          <w:tcPr>
            <w:tcW w:w="144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b/>
                <w:bCs/>
                <w:sz w:val="22"/>
                <w:szCs w:val="22"/>
              </w:rPr>
            </w:pPr>
            <w:r>
              <w:rPr>
                <w:rFonts w:ascii="Arial" w:hAnsi="Arial" w:cs="Arial"/>
                <w:b/>
                <w:bCs/>
                <w:sz w:val="22"/>
                <w:szCs w:val="22"/>
              </w:rPr>
              <w:t> </w:t>
            </w:r>
          </w:p>
        </w:tc>
        <w:tc>
          <w:tcPr>
            <w:tcW w:w="14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b/>
                <w:bCs/>
                <w:sz w:val="22"/>
                <w:szCs w:val="22"/>
              </w:rPr>
            </w:pPr>
            <w:r>
              <w:rPr>
                <w:rFonts w:ascii="Arial" w:hAnsi="Arial" w:cs="Arial"/>
                <w:b/>
                <w:bCs/>
                <w:sz w:val="22"/>
                <w:szCs w:val="22"/>
              </w:rPr>
              <w:t> </w:t>
            </w:r>
          </w:p>
        </w:tc>
        <w:tc>
          <w:tcPr>
            <w:tcW w:w="13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b/>
                <w:bCs/>
                <w:sz w:val="22"/>
                <w:szCs w:val="22"/>
              </w:rPr>
            </w:pPr>
            <w:r>
              <w:rPr>
                <w:rFonts w:ascii="Arial" w:hAnsi="Arial" w:cs="Arial"/>
                <w:b/>
                <w:bCs/>
                <w:sz w:val="22"/>
                <w:szCs w:val="22"/>
              </w:rPr>
              <w:t> </w:t>
            </w:r>
          </w:p>
        </w:tc>
        <w:tc>
          <w:tcPr>
            <w:tcW w:w="13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b/>
                <w:bCs/>
                <w:sz w:val="22"/>
                <w:szCs w:val="22"/>
              </w:rPr>
            </w:pPr>
            <w:r>
              <w:rPr>
                <w:rFonts w:ascii="Arial" w:hAnsi="Arial" w:cs="Arial"/>
                <w:b/>
                <w:bCs/>
                <w:sz w:val="22"/>
                <w:szCs w:val="22"/>
              </w:rPr>
              <w:t> </w:t>
            </w:r>
          </w:p>
        </w:tc>
      </w:tr>
      <w:tr w:rsidR="006C217D" w:rsidTr="006C217D">
        <w:trPr>
          <w:trHeight w:val="285"/>
        </w:trPr>
        <w:tc>
          <w:tcPr>
            <w:tcW w:w="2860" w:type="dxa"/>
            <w:tcBorders>
              <w:top w:val="nil"/>
              <w:left w:val="nil"/>
              <w:bottom w:val="nil"/>
              <w:right w:val="nil"/>
            </w:tcBorders>
            <w:shd w:val="clear" w:color="000000" w:fill="FFFFFF"/>
            <w:noWrap/>
            <w:vAlign w:val="bottom"/>
            <w:hideMark/>
          </w:tcPr>
          <w:p w:rsidR="006C217D" w:rsidRDefault="006C217D">
            <w:pPr>
              <w:rPr>
                <w:rFonts w:ascii="Arial" w:hAnsi="Arial" w:cs="Arial"/>
                <w:sz w:val="22"/>
                <w:szCs w:val="22"/>
              </w:rPr>
            </w:pPr>
            <w:r>
              <w:rPr>
                <w:rFonts w:ascii="Arial" w:hAnsi="Arial" w:cs="Arial"/>
                <w:sz w:val="22"/>
                <w:szCs w:val="22"/>
              </w:rPr>
              <w:t>Kundefordringer</w:t>
            </w:r>
          </w:p>
        </w:tc>
        <w:tc>
          <w:tcPr>
            <w:tcW w:w="144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268 230</w:t>
            </w:r>
          </w:p>
        </w:tc>
        <w:tc>
          <w:tcPr>
            <w:tcW w:w="14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32 624</w:t>
            </w:r>
          </w:p>
        </w:tc>
        <w:tc>
          <w:tcPr>
            <w:tcW w:w="13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8 171</w:t>
            </w:r>
          </w:p>
        </w:tc>
        <w:tc>
          <w:tcPr>
            <w:tcW w:w="13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42 852</w:t>
            </w:r>
          </w:p>
        </w:tc>
      </w:tr>
      <w:tr w:rsidR="006C217D" w:rsidTr="006C217D">
        <w:trPr>
          <w:trHeight w:val="285"/>
        </w:trPr>
        <w:tc>
          <w:tcPr>
            <w:tcW w:w="2860" w:type="dxa"/>
            <w:tcBorders>
              <w:top w:val="nil"/>
              <w:left w:val="nil"/>
              <w:bottom w:val="nil"/>
              <w:right w:val="nil"/>
            </w:tcBorders>
            <w:shd w:val="clear" w:color="000000" w:fill="FFFFFF"/>
            <w:noWrap/>
            <w:vAlign w:val="bottom"/>
            <w:hideMark/>
          </w:tcPr>
          <w:p w:rsidR="006C217D" w:rsidRDefault="006C217D">
            <w:pPr>
              <w:rPr>
                <w:rFonts w:ascii="Arial" w:hAnsi="Arial" w:cs="Arial"/>
                <w:sz w:val="22"/>
                <w:szCs w:val="22"/>
              </w:rPr>
            </w:pPr>
            <w:r>
              <w:rPr>
                <w:rFonts w:ascii="Arial" w:hAnsi="Arial" w:cs="Arial"/>
                <w:sz w:val="22"/>
                <w:szCs w:val="22"/>
              </w:rPr>
              <w:t>Andre fordringer/forskudd</w:t>
            </w:r>
          </w:p>
        </w:tc>
        <w:tc>
          <w:tcPr>
            <w:tcW w:w="144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20 902</w:t>
            </w:r>
          </w:p>
        </w:tc>
        <w:tc>
          <w:tcPr>
            <w:tcW w:w="14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47 011</w:t>
            </w:r>
          </w:p>
        </w:tc>
        <w:tc>
          <w:tcPr>
            <w:tcW w:w="13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168 400</w:t>
            </w:r>
          </w:p>
        </w:tc>
        <w:tc>
          <w:tcPr>
            <w:tcW w:w="13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16 622</w:t>
            </w:r>
          </w:p>
        </w:tc>
      </w:tr>
      <w:tr w:rsidR="006C217D" w:rsidTr="006C217D">
        <w:trPr>
          <w:trHeight w:val="285"/>
        </w:trPr>
        <w:tc>
          <w:tcPr>
            <w:tcW w:w="2860" w:type="dxa"/>
            <w:tcBorders>
              <w:top w:val="nil"/>
              <w:left w:val="nil"/>
              <w:bottom w:val="nil"/>
              <w:right w:val="nil"/>
            </w:tcBorders>
            <w:shd w:val="clear" w:color="000000" w:fill="FFFFFF"/>
            <w:noWrap/>
            <w:vAlign w:val="bottom"/>
            <w:hideMark/>
          </w:tcPr>
          <w:p w:rsidR="006C217D" w:rsidRDefault="006C217D">
            <w:pPr>
              <w:rPr>
                <w:rFonts w:ascii="Arial" w:hAnsi="Arial" w:cs="Arial"/>
                <w:sz w:val="22"/>
                <w:szCs w:val="22"/>
              </w:rPr>
            </w:pPr>
            <w:r>
              <w:rPr>
                <w:rFonts w:ascii="Arial" w:hAnsi="Arial" w:cs="Arial"/>
                <w:sz w:val="22"/>
                <w:szCs w:val="22"/>
              </w:rPr>
              <w:t>Forskuddsbetalte kostn.</w:t>
            </w:r>
          </w:p>
        </w:tc>
        <w:tc>
          <w:tcPr>
            <w:tcW w:w="144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97 744</w:t>
            </w:r>
          </w:p>
        </w:tc>
        <w:tc>
          <w:tcPr>
            <w:tcW w:w="14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91 246</w:t>
            </w:r>
          </w:p>
        </w:tc>
        <w:tc>
          <w:tcPr>
            <w:tcW w:w="13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246 042</w:t>
            </w:r>
          </w:p>
        </w:tc>
        <w:tc>
          <w:tcPr>
            <w:tcW w:w="13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111 932</w:t>
            </w:r>
          </w:p>
        </w:tc>
      </w:tr>
      <w:tr w:rsidR="006C217D" w:rsidTr="006C217D">
        <w:trPr>
          <w:trHeight w:val="285"/>
        </w:trPr>
        <w:tc>
          <w:tcPr>
            <w:tcW w:w="2860" w:type="dxa"/>
            <w:tcBorders>
              <w:top w:val="nil"/>
              <w:left w:val="nil"/>
              <w:bottom w:val="nil"/>
              <w:right w:val="nil"/>
            </w:tcBorders>
            <w:shd w:val="clear" w:color="000000" w:fill="FFFFFF"/>
            <w:noWrap/>
            <w:vAlign w:val="bottom"/>
            <w:hideMark/>
          </w:tcPr>
          <w:p w:rsidR="006C217D" w:rsidRDefault="006C217D">
            <w:pPr>
              <w:rPr>
                <w:rFonts w:ascii="Arial" w:hAnsi="Arial" w:cs="Arial"/>
                <w:sz w:val="22"/>
                <w:szCs w:val="22"/>
              </w:rPr>
            </w:pPr>
            <w:r>
              <w:rPr>
                <w:rFonts w:ascii="Arial" w:hAnsi="Arial" w:cs="Arial"/>
                <w:sz w:val="22"/>
                <w:szCs w:val="22"/>
              </w:rPr>
              <w:t>Mellomregning PS</w:t>
            </w:r>
          </w:p>
        </w:tc>
        <w:tc>
          <w:tcPr>
            <w:tcW w:w="144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107 250</w:t>
            </w:r>
          </w:p>
        </w:tc>
        <w:tc>
          <w:tcPr>
            <w:tcW w:w="14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107 250</w:t>
            </w:r>
          </w:p>
        </w:tc>
        <w:tc>
          <w:tcPr>
            <w:tcW w:w="13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6 750</w:t>
            </w:r>
          </w:p>
        </w:tc>
        <w:tc>
          <w:tcPr>
            <w:tcW w:w="13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6 750</w:t>
            </w:r>
          </w:p>
        </w:tc>
      </w:tr>
      <w:tr w:rsidR="006C217D" w:rsidTr="006C217D">
        <w:trPr>
          <w:trHeight w:val="285"/>
        </w:trPr>
        <w:tc>
          <w:tcPr>
            <w:tcW w:w="2860" w:type="dxa"/>
            <w:tcBorders>
              <w:top w:val="nil"/>
              <w:left w:val="nil"/>
              <w:bottom w:val="nil"/>
              <w:right w:val="nil"/>
            </w:tcBorders>
            <w:shd w:val="clear" w:color="000000" w:fill="FFFFFF"/>
            <w:noWrap/>
            <w:vAlign w:val="bottom"/>
            <w:hideMark/>
          </w:tcPr>
          <w:p w:rsidR="006C217D" w:rsidRDefault="006C217D">
            <w:pPr>
              <w:rPr>
                <w:rFonts w:ascii="Arial" w:hAnsi="Arial" w:cs="Arial"/>
                <w:sz w:val="22"/>
                <w:szCs w:val="22"/>
              </w:rPr>
            </w:pPr>
            <w:r>
              <w:rPr>
                <w:rFonts w:ascii="Arial" w:hAnsi="Arial" w:cs="Arial"/>
                <w:sz w:val="22"/>
                <w:szCs w:val="22"/>
              </w:rPr>
              <w:t>Særvilkår / verdipapirer</w:t>
            </w:r>
          </w:p>
        </w:tc>
        <w:tc>
          <w:tcPr>
            <w:tcW w:w="144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2 988 736</w:t>
            </w:r>
          </w:p>
        </w:tc>
        <w:tc>
          <w:tcPr>
            <w:tcW w:w="14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2 988 736</w:t>
            </w:r>
          </w:p>
        </w:tc>
        <w:tc>
          <w:tcPr>
            <w:tcW w:w="13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2 923 717</w:t>
            </w:r>
          </w:p>
        </w:tc>
        <w:tc>
          <w:tcPr>
            <w:tcW w:w="13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2 867 587</w:t>
            </w:r>
          </w:p>
        </w:tc>
      </w:tr>
      <w:tr w:rsidR="006C217D" w:rsidTr="006C217D">
        <w:trPr>
          <w:trHeight w:val="285"/>
        </w:trPr>
        <w:tc>
          <w:tcPr>
            <w:tcW w:w="2860" w:type="dxa"/>
            <w:tcBorders>
              <w:top w:val="nil"/>
              <w:left w:val="nil"/>
              <w:bottom w:val="nil"/>
              <w:right w:val="nil"/>
            </w:tcBorders>
            <w:shd w:val="clear" w:color="000000" w:fill="FFFFFF"/>
            <w:noWrap/>
            <w:vAlign w:val="bottom"/>
            <w:hideMark/>
          </w:tcPr>
          <w:p w:rsidR="006C217D" w:rsidRDefault="006C217D">
            <w:pPr>
              <w:rPr>
                <w:rFonts w:ascii="Arial" w:hAnsi="Arial" w:cs="Arial"/>
                <w:sz w:val="22"/>
                <w:szCs w:val="22"/>
              </w:rPr>
            </w:pPr>
            <w:r>
              <w:rPr>
                <w:rFonts w:ascii="Arial" w:hAnsi="Arial" w:cs="Arial"/>
                <w:sz w:val="22"/>
                <w:szCs w:val="22"/>
              </w:rPr>
              <w:t>Depositumskonto</w:t>
            </w:r>
          </w:p>
        </w:tc>
        <w:tc>
          <w:tcPr>
            <w:tcW w:w="144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537 848</w:t>
            </w:r>
          </w:p>
        </w:tc>
        <w:tc>
          <w:tcPr>
            <w:tcW w:w="14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537 848</w:t>
            </w:r>
          </w:p>
        </w:tc>
        <w:tc>
          <w:tcPr>
            <w:tcW w:w="13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496 200</w:t>
            </w:r>
          </w:p>
        </w:tc>
        <w:tc>
          <w:tcPr>
            <w:tcW w:w="13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496 200</w:t>
            </w:r>
          </w:p>
        </w:tc>
      </w:tr>
      <w:tr w:rsidR="006C217D" w:rsidTr="006C217D">
        <w:trPr>
          <w:trHeight w:val="285"/>
        </w:trPr>
        <w:tc>
          <w:tcPr>
            <w:tcW w:w="2860" w:type="dxa"/>
            <w:tcBorders>
              <w:top w:val="nil"/>
              <w:left w:val="nil"/>
              <w:bottom w:val="nil"/>
              <w:right w:val="nil"/>
            </w:tcBorders>
            <w:shd w:val="clear" w:color="auto" w:fill="auto"/>
            <w:noWrap/>
            <w:vAlign w:val="bottom"/>
            <w:hideMark/>
          </w:tcPr>
          <w:p w:rsidR="006C217D" w:rsidRDefault="006C217D">
            <w:pPr>
              <w:rPr>
                <w:rFonts w:ascii="Arial" w:hAnsi="Arial" w:cs="Arial"/>
                <w:sz w:val="22"/>
                <w:szCs w:val="22"/>
              </w:rPr>
            </w:pPr>
            <w:r>
              <w:rPr>
                <w:rFonts w:ascii="Arial" w:hAnsi="Arial" w:cs="Arial"/>
                <w:sz w:val="22"/>
                <w:szCs w:val="22"/>
              </w:rPr>
              <w:t>Kasse/ bank</w:t>
            </w:r>
          </w:p>
        </w:tc>
        <w:tc>
          <w:tcPr>
            <w:tcW w:w="144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3 689 643</w:t>
            </w:r>
          </w:p>
        </w:tc>
        <w:tc>
          <w:tcPr>
            <w:tcW w:w="14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1 273 858</w:t>
            </w: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1 530 251</w:t>
            </w: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1 753 951</w:t>
            </w:r>
          </w:p>
        </w:tc>
      </w:tr>
      <w:tr w:rsidR="006C217D" w:rsidTr="006C217D">
        <w:trPr>
          <w:trHeight w:val="300"/>
        </w:trPr>
        <w:tc>
          <w:tcPr>
            <w:tcW w:w="2860" w:type="dxa"/>
            <w:tcBorders>
              <w:top w:val="single" w:sz="4" w:space="0" w:color="auto"/>
              <w:left w:val="nil"/>
              <w:bottom w:val="nil"/>
              <w:right w:val="nil"/>
            </w:tcBorders>
            <w:shd w:val="clear" w:color="auto" w:fill="auto"/>
            <w:noWrap/>
            <w:vAlign w:val="bottom"/>
            <w:hideMark/>
          </w:tcPr>
          <w:p w:rsidR="006C217D" w:rsidRDefault="006C217D">
            <w:pPr>
              <w:rPr>
                <w:rFonts w:ascii="Arial" w:hAnsi="Arial" w:cs="Arial"/>
                <w:b/>
                <w:bCs/>
                <w:sz w:val="22"/>
                <w:szCs w:val="22"/>
              </w:rPr>
            </w:pPr>
            <w:r>
              <w:rPr>
                <w:rFonts w:ascii="Arial" w:hAnsi="Arial" w:cs="Arial"/>
                <w:b/>
                <w:bCs/>
                <w:sz w:val="22"/>
                <w:szCs w:val="22"/>
              </w:rPr>
              <w:t>Sum omløpsmiddel</w:t>
            </w:r>
          </w:p>
        </w:tc>
        <w:tc>
          <w:tcPr>
            <w:tcW w:w="1440" w:type="dxa"/>
            <w:tcBorders>
              <w:top w:val="single" w:sz="4" w:space="0" w:color="auto"/>
              <w:left w:val="nil"/>
              <w:bottom w:val="nil"/>
              <w:right w:val="nil"/>
            </w:tcBorders>
            <w:shd w:val="clear" w:color="auto" w:fill="auto"/>
            <w:noWrap/>
            <w:vAlign w:val="bottom"/>
            <w:hideMark/>
          </w:tcPr>
          <w:p w:rsidR="006C217D" w:rsidRDefault="006C217D">
            <w:pPr>
              <w:jc w:val="right"/>
              <w:rPr>
                <w:rFonts w:ascii="Arial" w:hAnsi="Arial" w:cs="Arial"/>
                <w:b/>
                <w:bCs/>
                <w:sz w:val="22"/>
                <w:szCs w:val="22"/>
              </w:rPr>
            </w:pPr>
            <w:r>
              <w:rPr>
                <w:rFonts w:ascii="Arial" w:hAnsi="Arial" w:cs="Arial"/>
                <w:b/>
                <w:bCs/>
                <w:sz w:val="22"/>
                <w:szCs w:val="22"/>
              </w:rPr>
              <w:t>7 710 353</w:t>
            </w:r>
          </w:p>
        </w:tc>
        <w:tc>
          <w:tcPr>
            <w:tcW w:w="1400" w:type="dxa"/>
            <w:tcBorders>
              <w:top w:val="single" w:sz="4" w:space="0" w:color="auto"/>
              <w:left w:val="nil"/>
              <w:bottom w:val="nil"/>
              <w:right w:val="nil"/>
            </w:tcBorders>
            <w:shd w:val="clear" w:color="auto" w:fill="auto"/>
            <w:noWrap/>
            <w:vAlign w:val="bottom"/>
            <w:hideMark/>
          </w:tcPr>
          <w:p w:rsidR="006C217D" w:rsidRDefault="006C217D">
            <w:pPr>
              <w:jc w:val="right"/>
              <w:rPr>
                <w:rFonts w:ascii="Arial" w:hAnsi="Arial" w:cs="Arial"/>
                <w:b/>
                <w:bCs/>
                <w:sz w:val="22"/>
                <w:szCs w:val="22"/>
              </w:rPr>
            </w:pPr>
            <w:r>
              <w:rPr>
                <w:rFonts w:ascii="Arial" w:hAnsi="Arial" w:cs="Arial"/>
                <w:b/>
                <w:bCs/>
                <w:sz w:val="22"/>
                <w:szCs w:val="22"/>
              </w:rPr>
              <w:t>5 078 573</w:t>
            </w:r>
          </w:p>
        </w:tc>
        <w:tc>
          <w:tcPr>
            <w:tcW w:w="1300" w:type="dxa"/>
            <w:tcBorders>
              <w:top w:val="single" w:sz="4" w:space="0" w:color="auto"/>
              <w:left w:val="nil"/>
              <w:bottom w:val="nil"/>
              <w:right w:val="nil"/>
            </w:tcBorders>
            <w:shd w:val="clear" w:color="auto" w:fill="auto"/>
            <w:noWrap/>
            <w:vAlign w:val="bottom"/>
            <w:hideMark/>
          </w:tcPr>
          <w:p w:rsidR="006C217D" w:rsidRDefault="006C217D">
            <w:pPr>
              <w:jc w:val="right"/>
              <w:rPr>
                <w:rFonts w:ascii="Arial" w:hAnsi="Arial" w:cs="Arial"/>
                <w:b/>
                <w:bCs/>
                <w:sz w:val="22"/>
                <w:szCs w:val="22"/>
              </w:rPr>
            </w:pPr>
            <w:r>
              <w:rPr>
                <w:rFonts w:ascii="Arial" w:hAnsi="Arial" w:cs="Arial"/>
                <w:b/>
                <w:bCs/>
                <w:sz w:val="22"/>
                <w:szCs w:val="22"/>
              </w:rPr>
              <w:t>5 379 531</w:t>
            </w:r>
          </w:p>
        </w:tc>
        <w:tc>
          <w:tcPr>
            <w:tcW w:w="1300" w:type="dxa"/>
            <w:tcBorders>
              <w:top w:val="single" w:sz="4" w:space="0" w:color="auto"/>
              <w:left w:val="nil"/>
              <w:bottom w:val="nil"/>
              <w:right w:val="nil"/>
            </w:tcBorders>
            <w:shd w:val="clear" w:color="auto" w:fill="auto"/>
            <w:noWrap/>
            <w:vAlign w:val="bottom"/>
            <w:hideMark/>
          </w:tcPr>
          <w:p w:rsidR="006C217D" w:rsidRDefault="006C217D">
            <w:pPr>
              <w:jc w:val="right"/>
              <w:rPr>
                <w:rFonts w:ascii="Arial" w:hAnsi="Arial" w:cs="Arial"/>
                <w:b/>
                <w:bCs/>
                <w:sz w:val="22"/>
                <w:szCs w:val="22"/>
              </w:rPr>
            </w:pPr>
            <w:r>
              <w:rPr>
                <w:rFonts w:ascii="Arial" w:hAnsi="Arial" w:cs="Arial"/>
                <w:b/>
                <w:bCs/>
                <w:sz w:val="22"/>
                <w:szCs w:val="22"/>
              </w:rPr>
              <w:t>5 295 894</w:t>
            </w:r>
          </w:p>
        </w:tc>
      </w:tr>
      <w:tr w:rsidR="006C217D" w:rsidTr="006C217D">
        <w:trPr>
          <w:trHeight w:val="300"/>
        </w:trPr>
        <w:tc>
          <w:tcPr>
            <w:tcW w:w="2860" w:type="dxa"/>
            <w:tcBorders>
              <w:top w:val="nil"/>
              <w:left w:val="nil"/>
              <w:bottom w:val="nil"/>
              <w:right w:val="nil"/>
            </w:tcBorders>
            <w:shd w:val="clear" w:color="auto" w:fill="auto"/>
            <w:noWrap/>
            <w:vAlign w:val="bottom"/>
            <w:hideMark/>
          </w:tcPr>
          <w:p w:rsidR="006C217D" w:rsidRDefault="006C217D">
            <w:pPr>
              <w:rPr>
                <w:rFonts w:ascii="Arial" w:hAnsi="Arial" w:cs="Arial"/>
                <w:b/>
                <w:bCs/>
                <w:sz w:val="22"/>
                <w:szCs w:val="22"/>
              </w:rPr>
            </w:pPr>
          </w:p>
        </w:tc>
        <w:tc>
          <w:tcPr>
            <w:tcW w:w="1440" w:type="dxa"/>
            <w:tcBorders>
              <w:top w:val="nil"/>
              <w:left w:val="nil"/>
              <w:bottom w:val="nil"/>
              <w:right w:val="nil"/>
            </w:tcBorders>
            <w:shd w:val="clear" w:color="auto" w:fill="auto"/>
            <w:noWrap/>
            <w:vAlign w:val="bottom"/>
            <w:hideMark/>
          </w:tcPr>
          <w:p w:rsidR="006C217D" w:rsidRDefault="006C217D">
            <w:pPr>
              <w:jc w:val="right"/>
              <w:rPr>
                <w:rFonts w:ascii="Arial" w:hAnsi="Arial" w:cs="Arial"/>
                <w:b/>
                <w:bCs/>
                <w:sz w:val="22"/>
                <w:szCs w:val="22"/>
              </w:rPr>
            </w:pPr>
          </w:p>
        </w:tc>
        <w:tc>
          <w:tcPr>
            <w:tcW w:w="1400" w:type="dxa"/>
            <w:tcBorders>
              <w:top w:val="nil"/>
              <w:left w:val="nil"/>
              <w:bottom w:val="nil"/>
              <w:right w:val="nil"/>
            </w:tcBorders>
            <w:shd w:val="clear" w:color="auto" w:fill="auto"/>
            <w:noWrap/>
            <w:vAlign w:val="bottom"/>
            <w:hideMark/>
          </w:tcPr>
          <w:p w:rsidR="006C217D" w:rsidRDefault="006C217D">
            <w:pPr>
              <w:jc w:val="right"/>
              <w:rPr>
                <w:rFonts w:ascii="Arial" w:hAnsi="Arial" w:cs="Arial"/>
                <w:b/>
                <w:bCs/>
                <w:sz w:val="22"/>
                <w:szCs w:val="22"/>
              </w:rPr>
            </w:pP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b/>
                <w:bCs/>
                <w:sz w:val="22"/>
                <w:szCs w:val="22"/>
              </w:rPr>
            </w:pP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b/>
                <w:bCs/>
                <w:sz w:val="22"/>
                <w:szCs w:val="22"/>
              </w:rPr>
            </w:pPr>
          </w:p>
        </w:tc>
      </w:tr>
      <w:tr w:rsidR="006C217D" w:rsidTr="006C217D">
        <w:trPr>
          <w:trHeight w:val="315"/>
        </w:trPr>
        <w:tc>
          <w:tcPr>
            <w:tcW w:w="2860" w:type="dxa"/>
            <w:tcBorders>
              <w:top w:val="nil"/>
              <w:left w:val="nil"/>
              <w:bottom w:val="single" w:sz="8" w:space="0" w:color="auto"/>
              <w:right w:val="nil"/>
            </w:tcBorders>
            <w:shd w:val="clear" w:color="auto" w:fill="auto"/>
            <w:noWrap/>
            <w:vAlign w:val="bottom"/>
            <w:hideMark/>
          </w:tcPr>
          <w:p w:rsidR="006C217D" w:rsidRDefault="006C217D">
            <w:pPr>
              <w:rPr>
                <w:rFonts w:ascii="Arial" w:hAnsi="Arial" w:cs="Arial"/>
                <w:b/>
                <w:bCs/>
                <w:sz w:val="22"/>
                <w:szCs w:val="22"/>
              </w:rPr>
            </w:pPr>
            <w:r>
              <w:rPr>
                <w:rFonts w:ascii="Arial" w:hAnsi="Arial" w:cs="Arial"/>
                <w:b/>
                <w:bCs/>
                <w:sz w:val="22"/>
                <w:szCs w:val="22"/>
              </w:rPr>
              <w:t>Sum eiendeler</w:t>
            </w:r>
          </w:p>
        </w:tc>
        <w:tc>
          <w:tcPr>
            <w:tcW w:w="1440" w:type="dxa"/>
            <w:tcBorders>
              <w:top w:val="nil"/>
              <w:left w:val="nil"/>
              <w:bottom w:val="single" w:sz="8" w:space="0" w:color="auto"/>
              <w:right w:val="nil"/>
            </w:tcBorders>
            <w:shd w:val="clear" w:color="auto" w:fill="auto"/>
            <w:noWrap/>
            <w:vAlign w:val="bottom"/>
            <w:hideMark/>
          </w:tcPr>
          <w:p w:rsidR="006C217D" w:rsidRDefault="006C217D">
            <w:pPr>
              <w:jc w:val="right"/>
              <w:rPr>
                <w:rFonts w:ascii="Arial" w:hAnsi="Arial" w:cs="Arial"/>
                <w:b/>
                <w:bCs/>
                <w:sz w:val="22"/>
                <w:szCs w:val="22"/>
              </w:rPr>
            </w:pPr>
            <w:r>
              <w:rPr>
                <w:rFonts w:ascii="Arial" w:hAnsi="Arial" w:cs="Arial"/>
                <w:b/>
                <w:bCs/>
                <w:sz w:val="22"/>
                <w:szCs w:val="22"/>
              </w:rPr>
              <w:t>8 204 045</w:t>
            </w:r>
          </w:p>
        </w:tc>
        <w:tc>
          <w:tcPr>
            <w:tcW w:w="1400" w:type="dxa"/>
            <w:tcBorders>
              <w:top w:val="nil"/>
              <w:left w:val="nil"/>
              <w:bottom w:val="single" w:sz="8" w:space="0" w:color="auto"/>
              <w:right w:val="nil"/>
            </w:tcBorders>
            <w:shd w:val="clear" w:color="auto" w:fill="auto"/>
            <w:noWrap/>
            <w:vAlign w:val="bottom"/>
            <w:hideMark/>
          </w:tcPr>
          <w:p w:rsidR="006C217D" w:rsidRDefault="006C217D">
            <w:pPr>
              <w:jc w:val="right"/>
              <w:rPr>
                <w:rFonts w:ascii="Arial" w:hAnsi="Arial" w:cs="Arial"/>
                <w:b/>
                <w:bCs/>
                <w:sz w:val="22"/>
                <w:szCs w:val="22"/>
              </w:rPr>
            </w:pPr>
            <w:r>
              <w:rPr>
                <w:rFonts w:ascii="Arial" w:hAnsi="Arial" w:cs="Arial"/>
                <w:b/>
                <w:bCs/>
                <w:sz w:val="22"/>
                <w:szCs w:val="22"/>
              </w:rPr>
              <w:t>5 667 208</w:t>
            </w:r>
          </w:p>
        </w:tc>
        <w:tc>
          <w:tcPr>
            <w:tcW w:w="1300" w:type="dxa"/>
            <w:tcBorders>
              <w:top w:val="nil"/>
              <w:left w:val="nil"/>
              <w:bottom w:val="single" w:sz="8" w:space="0" w:color="auto"/>
              <w:right w:val="nil"/>
            </w:tcBorders>
            <w:shd w:val="clear" w:color="auto" w:fill="auto"/>
            <w:noWrap/>
            <w:vAlign w:val="bottom"/>
            <w:hideMark/>
          </w:tcPr>
          <w:p w:rsidR="006C217D" w:rsidRDefault="006C217D">
            <w:pPr>
              <w:jc w:val="right"/>
              <w:rPr>
                <w:rFonts w:ascii="Arial" w:hAnsi="Arial" w:cs="Arial"/>
                <w:b/>
                <w:bCs/>
                <w:sz w:val="22"/>
                <w:szCs w:val="22"/>
              </w:rPr>
            </w:pPr>
            <w:r>
              <w:rPr>
                <w:rFonts w:ascii="Arial" w:hAnsi="Arial" w:cs="Arial"/>
                <w:b/>
                <w:bCs/>
                <w:sz w:val="22"/>
                <w:szCs w:val="22"/>
              </w:rPr>
              <w:t>6 014 059</w:t>
            </w:r>
          </w:p>
        </w:tc>
        <w:tc>
          <w:tcPr>
            <w:tcW w:w="1300" w:type="dxa"/>
            <w:tcBorders>
              <w:top w:val="nil"/>
              <w:left w:val="nil"/>
              <w:bottom w:val="single" w:sz="8" w:space="0" w:color="auto"/>
              <w:right w:val="nil"/>
            </w:tcBorders>
            <w:shd w:val="clear" w:color="auto" w:fill="auto"/>
            <w:noWrap/>
            <w:vAlign w:val="bottom"/>
            <w:hideMark/>
          </w:tcPr>
          <w:p w:rsidR="006C217D" w:rsidRDefault="006C217D">
            <w:pPr>
              <w:jc w:val="right"/>
              <w:rPr>
                <w:rFonts w:ascii="Arial" w:hAnsi="Arial" w:cs="Arial"/>
                <w:b/>
                <w:bCs/>
                <w:sz w:val="22"/>
                <w:szCs w:val="22"/>
              </w:rPr>
            </w:pPr>
            <w:r>
              <w:rPr>
                <w:rFonts w:ascii="Arial" w:hAnsi="Arial" w:cs="Arial"/>
                <w:b/>
                <w:bCs/>
                <w:sz w:val="22"/>
                <w:szCs w:val="22"/>
              </w:rPr>
              <w:t>5 769 357</w:t>
            </w:r>
          </w:p>
        </w:tc>
      </w:tr>
      <w:tr w:rsidR="006C217D" w:rsidTr="006C217D">
        <w:trPr>
          <w:trHeight w:val="285"/>
        </w:trPr>
        <w:tc>
          <w:tcPr>
            <w:tcW w:w="2860" w:type="dxa"/>
            <w:tcBorders>
              <w:top w:val="nil"/>
              <w:left w:val="nil"/>
              <w:bottom w:val="nil"/>
              <w:right w:val="nil"/>
            </w:tcBorders>
            <w:shd w:val="clear" w:color="auto" w:fill="auto"/>
            <w:noWrap/>
            <w:vAlign w:val="bottom"/>
            <w:hideMark/>
          </w:tcPr>
          <w:p w:rsidR="006C217D" w:rsidRDefault="006C217D">
            <w:pPr>
              <w:rPr>
                <w:rFonts w:ascii="Arial" w:hAnsi="Arial" w:cs="Arial"/>
                <w:sz w:val="22"/>
                <w:szCs w:val="22"/>
              </w:rPr>
            </w:pPr>
          </w:p>
        </w:tc>
        <w:tc>
          <w:tcPr>
            <w:tcW w:w="144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p>
        </w:tc>
        <w:tc>
          <w:tcPr>
            <w:tcW w:w="14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p>
        </w:tc>
      </w:tr>
      <w:tr w:rsidR="006C217D" w:rsidTr="006C217D">
        <w:trPr>
          <w:trHeight w:val="300"/>
        </w:trPr>
        <w:tc>
          <w:tcPr>
            <w:tcW w:w="2860" w:type="dxa"/>
            <w:tcBorders>
              <w:top w:val="nil"/>
              <w:left w:val="nil"/>
              <w:bottom w:val="nil"/>
              <w:right w:val="nil"/>
            </w:tcBorders>
            <w:shd w:val="clear" w:color="auto" w:fill="auto"/>
            <w:noWrap/>
            <w:vAlign w:val="bottom"/>
            <w:hideMark/>
          </w:tcPr>
          <w:p w:rsidR="006C217D" w:rsidRDefault="006C217D">
            <w:pPr>
              <w:rPr>
                <w:rFonts w:ascii="Arial" w:hAnsi="Arial" w:cs="Arial"/>
                <w:b/>
                <w:bCs/>
                <w:sz w:val="22"/>
                <w:szCs w:val="22"/>
              </w:rPr>
            </w:pPr>
            <w:r>
              <w:rPr>
                <w:rFonts w:ascii="Arial" w:hAnsi="Arial" w:cs="Arial"/>
                <w:b/>
                <w:bCs/>
                <w:sz w:val="22"/>
                <w:szCs w:val="22"/>
              </w:rPr>
              <w:t>Gjeld / Egenkapital</w:t>
            </w:r>
          </w:p>
        </w:tc>
        <w:tc>
          <w:tcPr>
            <w:tcW w:w="1440" w:type="dxa"/>
            <w:tcBorders>
              <w:top w:val="nil"/>
              <w:left w:val="nil"/>
              <w:bottom w:val="nil"/>
              <w:right w:val="nil"/>
            </w:tcBorders>
            <w:shd w:val="clear" w:color="auto" w:fill="auto"/>
            <w:noWrap/>
            <w:vAlign w:val="bottom"/>
            <w:hideMark/>
          </w:tcPr>
          <w:p w:rsidR="006C217D" w:rsidRDefault="006C217D">
            <w:pPr>
              <w:jc w:val="right"/>
              <w:rPr>
                <w:rFonts w:ascii="Arial" w:hAnsi="Arial" w:cs="Arial"/>
                <w:b/>
                <w:bCs/>
                <w:sz w:val="22"/>
                <w:szCs w:val="22"/>
              </w:rPr>
            </w:pPr>
          </w:p>
        </w:tc>
        <w:tc>
          <w:tcPr>
            <w:tcW w:w="1400" w:type="dxa"/>
            <w:tcBorders>
              <w:top w:val="nil"/>
              <w:left w:val="nil"/>
              <w:bottom w:val="nil"/>
              <w:right w:val="nil"/>
            </w:tcBorders>
            <w:shd w:val="clear" w:color="auto" w:fill="auto"/>
            <w:noWrap/>
            <w:vAlign w:val="bottom"/>
            <w:hideMark/>
          </w:tcPr>
          <w:p w:rsidR="006C217D" w:rsidRDefault="006C217D">
            <w:pPr>
              <w:jc w:val="right"/>
              <w:rPr>
                <w:rFonts w:ascii="Arial" w:hAnsi="Arial" w:cs="Arial"/>
                <w:b/>
                <w:bCs/>
                <w:sz w:val="22"/>
                <w:szCs w:val="22"/>
              </w:rPr>
            </w:pP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b/>
                <w:bCs/>
                <w:sz w:val="22"/>
                <w:szCs w:val="22"/>
              </w:rPr>
            </w:pP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b/>
                <w:bCs/>
                <w:sz w:val="22"/>
                <w:szCs w:val="22"/>
              </w:rPr>
            </w:pPr>
          </w:p>
        </w:tc>
      </w:tr>
      <w:tr w:rsidR="006C217D" w:rsidTr="006C217D">
        <w:trPr>
          <w:trHeight w:val="285"/>
        </w:trPr>
        <w:tc>
          <w:tcPr>
            <w:tcW w:w="2860" w:type="dxa"/>
            <w:tcBorders>
              <w:top w:val="nil"/>
              <w:left w:val="nil"/>
              <w:bottom w:val="nil"/>
              <w:right w:val="nil"/>
            </w:tcBorders>
            <w:shd w:val="clear" w:color="auto" w:fill="auto"/>
            <w:noWrap/>
            <w:vAlign w:val="bottom"/>
            <w:hideMark/>
          </w:tcPr>
          <w:p w:rsidR="006C217D" w:rsidRDefault="006C217D">
            <w:pPr>
              <w:rPr>
                <w:rFonts w:ascii="Arial" w:hAnsi="Arial" w:cs="Arial"/>
                <w:sz w:val="22"/>
                <w:szCs w:val="22"/>
              </w:rPr>
            </w:pPr>
          </w:p>
        </w:tc>
        <w:tc>
          <w:tcPr>
            <w:tcW w:w="144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p>
        </w:tc>
        <w:tc>
          <w:tcPr>
            <w:tcW w:w="14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p>
        </w:tc>
      </w:tr>
      <w:tr w:rsidR="006C217D" w:rsidTr="006C217D">
        <w:trPr>
          <w:trHeight w:val="285"/>
        </w:trPr>
        <w:tc>
          <w:tcPr>
            <w:tcW w:w="2860" w:type="dxa"/>
            <w:tcBorders>
              <w:top w:val="nil"/>
              <w:left w:val="nil"/>
              <w:bottom w:val="nil"/>
              <w:right w:val="nil"/>
            </w:tcBorders>
            <w:shd w:val="clear" w:color="auto" w:fill="auto"/>
            <w:noWrap/>
            <w:vAlign w:val="bottom"/>
            <w:hideMark/>
          </w:tcPr>
          <w:p w:rsidR="006C217D" w:rsidRDefault="006C217D">
            <w:pPr>
              <w:rPr>
                <w:rFonts w:ascii="Arial" w:hAnsi="Arial" w:cs="Arial"/>
                <w:sz w:val="22"/>
                <w:szCs w:val="22"/>
              </w:rPr>
            </w:pPr>
            <w:r>
              <w:rPr>
                <w:rFonts w:ascii="Arial" w:hAnsi="Arial" w:cs="Arial"/>
                <w:sz w:val="22"/>
                <w:szCs w:val="22"/>
              </w:rPr>
              <w:t>Egenkapital 01.01</w:t>
            </w:r>
          </w:p>
        </w:tc>
        <w:tc>
          <w:tcPr>
            <w:tcW w:w="144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4 733 873</w:t>
            </w:r>
          </w:p>
        </w:tc>
        <w:tc>
          <w:tcPr>
            <w:tcW w:w="14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4 832 900</w:t>
            </w: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4 899 793</w:t>
            </w: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4 765 844</w:t>
            </w:r>
          </w:p>
        </w:tc>
      </w:tr>
      <w:tr w:rsidR="006C217D" w:rsidTr="006C217D">
        <w:trPr>
          <w:trHeight w:val="285"/>
        </w:trPr>
        <w:tc>
          <w:tcPr>
            <w:tcW w:w="2860" w:type="dxa"/>
            <w:tcBorders>
              <w:top w:val="nil"/>
              <w:left w:val="nil"/>
              <w:bottom w:val="nil"/>
              <w:right w:val="nil"/>
            </w:tcBorders>
            <w:shd w:val="clear" w:color="auto" w:fill="auto"/>
            <w:noWrap/>
            <w:vAlign w:val="bottom"/>
            <w:hideMark/>
          </w:tcPr>
          <w:p w:rsidR="006C217D" w:rsidRDefault="006C217D">
            <w:pPr>
              <w:rPr>
                <w:rFonts w:ascii="Arial" w:hAnsi="Arial" w:cs="Arial"/>
                <w:sz w:val="22"/>
                <w:szCs w:val="22"/>
              </w:rPr>
            </w:pPr>
            <w:r>
              <w:rPr>
                <w:rFonts w:ascii="Arial" w:hAnsi="Arial" w:cs="Arial"/>
                <w:sz w:val="22"/>
                <w:szCs w:val="22"/>
              </w:rPr>
              <w:t>Årets resultat</w:t>
            </w:r>
          </w:p>
        </w:tc>
        <w:tc>
          <w:tcPr>
            <w:tcW w:w="144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184 781</w:t>
            </w:r>
          </w:p>
        </w:tc>
        <w:tc>
          <w:tcPr>
            <w:tcW w:w="14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-99 027</w:t>
            </w: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-66 893</w:t>
            </w: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-66 051</w:t>
            </w:r>
          </w:p>
        </w:tc>
      </w:tr>
      <w:tr w:rsidR="006C217D" w:rsidTr="006C217D">
        <w:trPr>
          <w:trHeight w:val="285"/>
        </w:trPr>
        <w:tc>
          <w:tcPr>
            <w:tcW w:w="2860" w:type="dxa"/>
            <w:tcBorders>
              <w:top w:val="nil"/>
              <w:left w:val="nil"/>
              <w:bottom w:val="single" w:sz="4" w:space="0" w:color="auto"/>
              <w:right w:val="nil"/>
            </w:tcBorders>
            <w:shd w:val="clear" w:color="auto" w:fill="auto"/>
            <w:noWrap/>
            <w:vAlign w:val="bottom"/>
            <w:hideMark/>
          </w:tcPr>
          <w:p w:rsidR="006C217D" w:rsidRDefault="006C217D">
            <w:pPr>
              <w:rPr>
                <w:rFonts w:ascii="Arial" w:hAnsi="Arial" w:cs="Arial"/>
                <w:sz w:val="22"/>
                <w:szCs w:val="22"/>
              </w:rPr>
            </w:pPr>
            <w:r>
              <w:rPr>
                <w:rFonts w:ascii="Arial" w:hAnsi="Arial" w:cs="Arial"/>
                <w:sz w:val="22"/>
                <w:szCs w:val="22"/>
              </w:rPr>
              <w:t>Norsk Pressehistorieavsetn.</w:t>
            </w:r>
          </w:p>
        </w:tc>
        <w:tc>
          <w:tcPr>
            <w:tcW w:w="1440" w:type="dxa"/>
            <w:tcBorders>
              <w:top w:val="nil"/>
              <w:left w:val="nil"/>
              <w:bottom w:val="single" w:sz="4" w:space="0" w:color="auto"/>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0</w:t>
            </w:r>
          </w:p>
        </w:tc>
        <w:tc>
          <w:tcPr>
            <w:tcW w:w="1400" w:type="dxa"/>
            <w:tcBorders>
              <w:top w:val="nil"/>
              <w:left w:val="nil"/>
              <w:bottom w:val="single" w:sz="4" w:space="0" w:color="auto"/>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0</w:t>
            </w:r>
          </w:p>
        </w:tc>
        <w:tc>
          <w:tcPr>
            <w:tcW w:w="1300" w:type="dxa"/>
            <w:tcBorders>
              <w:top w:val="nil"/>
              <w:left w:val="nil"/>
              <w:bottom w:val="single" w:sz="4" w:space="0" w:color="auto"/>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0</w:t>
            </w:r>
          </w:p>
        </w:tc>
        <w:tc>
          <w:tcPr>
            <w:tcW w:w="1300" w:type="dxa"/>
            <w:tcBorders>
              <w:top w:val="nil"/>
              <w:left w:val="nil"/>
              <w:bottom w:val="single" w:sz="4" w:space="0" w:color="auto"/>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200 000</w:t>
            </w:r>
          </w:p>
        </w:tc>
      </w:tr>
      <w:tr w:rsidR="006C217D" w:rsidTr="006C217D">
        <w:trPr>
          <w:trHeight w:val="300"/>
        </w:trPr>
        <w:tc>
          <w:tcPr>
            <w:tcW w:w="2860" w:type="dxa"/>
            <w:tcBorders>
              <w:top w:val="nil"/>
              <w:left w:val="nil"/>
              <w:bottom w:val="nil"/>
              <w:right w:val="nil"/>
            </w:tcBorders>
            <w:shd w:val="clear" w:color="auto" w:fill="auto"/>
            <w:noWrap/>
            <w:vAlign w:val="bottom"/>
            <w:hideMark/>
          </w:tcPr>
          <w:p w:rsidR="006C217D" w:rsidRDefault="006C217D">
            <w:pPr>
              <w:rPr>
                <w:rFonts w:ascii="Arial" w:hAnsi="Arial" w:cs="Arial"/>
                <w:b/>
                <w:bCs/>
                <w:sz w:val="22"/>
                <w:szCs w:val="22"/>
              </w:rPr>
            </w:pPr>
            <w:r>
              <w:rPr>
                <w:rFonts w:ascii="Arial" w:hAnsi="Arial" w:cs="Arial"/>
                <w:b/>
                <w:bCs/>
                <w:sz w:val="22"/>
                <w:szCs w:val="22"/>
              </w:rPr>
              <w:t xml:space="preserve">Egenkapital </w:t>
            </w:r>
          </w:p>
        </w:tc>
        <w:tc>
          <w:tcPr>
            <w:tcW w:w="1440" w:type="dxa"/>
            <w:tcBorders>
              <w:top w:val="nil"/>
              <w:left w:val="nil"/>
              <w:bottom w:val="nil"/>
              <w:right w:val="nil"/>
            </w:tcBorders>
            <w:shd w:val="clear" w:color="auto" w:fill="auto"/>
            <w:noWrap/>
            <w:vAlign w:val="bottom"/>
            <w:hideMark/>
          </w:tcPr>
          <w:p w:rsidR="006C217D" w:rsidRDefault="006C217D">
            <w:pPr>
              <w:jc w:val="right"/>
              <w:rPr>
                <w:rFonts w:ascii="Arial" w:hAnsi="Arial" w:cs="Arial"/>
                <w:b/>
                <w:bCs/>
                <w:sz w:val="22"/>
                <w:szCs w:val="22"/>
              </w:rPr>
            </w:pPr>
            <w:r>
              <w:rPr>
                <w:rFonts w:ascii="Arial" w:hAnsi="Arial" w:cs="Arial"/>
                <w:b/>
                <w:bCs/>
                <w:sz w:val="22"/>
                <w:szCs w:val="22"/>
              </w:rPr>
              <w:t>4 918 654</w:t>
            </w:r>
          </w:p>
        </w:tc>
        <w:tc>
          <w:tcPr>
            <w:tcW w:w="1400" w:type="dxa"/>
            <w:tcBorders>
              <w:top w:val="nil"/>
              <w:left w:val="nil"/>
              <w:bottom w:val="nil"/>
              <w:right w:val="nil"/>
            </w:tcBorders>
            <w:shd w:val="clear" w:color="auto" w:fill="auto"/>
            <w:noWrap/>
            <w:vAlign w:val="bottom"/>
            <w:hideMark/>
          </w:tcPr>
          <w:p w:rsidR="006C217D" w:rsidRDefault="006C217D">
            <w:pPr>
              <w:jc w:val="right"/>
              <w:rPr>
                <w:rFonts w:ascii="Arial" w:hAnsi="Arial" w:cs="Arial"/>
                <w:b/>
                <w:bCs/>
                <w:sz w:val="22"/>
                <w:szCs w:val="22"/>
              </w:rPr>
            </w:pPr>
            <w:r>
              <w:rPr>
                <w:rFonts w:ascii="Arial" w:hAnsi="Arial" w:cs="Arial"/>
                <w:b/>
                <w:bCs/>
                <w:sz w:val="22"/>
                <w:szCs w:val="22"/>
              </w:rPr>
              <w:t>4 733 873</w:t>
            </w: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b/>
                <w:bCs/>
                <w:sz w:val="22"/>
                <w:szCs w:val="22"/>
              </w:rPr>
            </w:pPr>
            <w:r>
              <w:rPr>
                <w:rFonts w:ascii="Arial" w:hAnsi="Arial" w:cs="Arial"/>
                <w:b/>
                <w:bCs/>
                <w:sz w:val="22"/>
                <w:szCs w:val="22"/>
              </w:rPr>
              <w:t>4 832 900</w:t>
            </w: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b/>
                <w:bCs/>
                <w:sz w:val="22"/>
                <w:szCs w:val="22"/>
              </w:rPr>
            </w:pPr>
            <w:r>
              <w:rPr>
                <w:rFonts w:ascii="Arial" w:hAnsi="Arial" w:cs="Arial"/>
                <w:b/>
                <w:bCs/>
                <w:sz w:val="22"/>
                <w:szCs w:val="22"/>
              </w:rPr>
              <w:t>4 899 793</w:t>
            </w:r>
          </w:p>
        </w:tc>
      </w:tr>
      <w:tr w:rsidR="006C217D" w:rsidTr="006C217D">
        <w:trPr>
          <w:trHeight w:val="300"/>
        </w:trPr>
        <w:tc>
          <w:tcPr>
            <w:tcW w:w="2860" w:type="dxa"/>
            <w:tcBorders>
              <w:top w:val="nil"/>
              <w:left w:val="nil"/>
              <w:bottom w:val="nil"/>
              <w:right w:val="nil"/>
            </w:tcBorders>
            <w:shd w:val="clear" w:color="auto" w:fill="auto"/>
            <w:noWrap/>
            <w:vAlign w:val="bottom"/>
            <w:hideMark/>
          </w:tcPr>
          <w:p w:rsidR="006C217D" w:rsidRDefault="006C217D">
            <w:pPr>
              <w:rPr>
                <w:rFonts w:ascii="Arial" w:hAnsi="Arial" w:cs="Arial"/>
                <w:b/>
                <w:bCs/>
                <w:sz w:val="22"/>
                <w:szCs w:val="22"/>
              </w:rPr>
            </w:pPr>
          </w:p>
        </w:tc>
        <w:tc>
          <w:tcPr>
            <w:tcW w:w="1440" w:type="dxa"/>
            <w:tcBorders>
              <w:top w:val="nil"/>
              <w:left w:val="nil"/>
              <w:bottom w:val="nil"/>
              <w:right w:val="nil"/>
            </w:tcBorders>
            <w:shd w:val="clear" w:color="auto" w:fill="auto"/>
            <w:noWrap/>
            <w:vAlign w:val="bottom"/>
            <w:hideMark/>
          </w:tcPr>
          <w:p w:rsidR="006C217D" w:rsidRDefault="006C217D">
            <w:pPr>
              <w:jc w:val="right"/>
              <w:rPr>
                <w:rFonts w:ascii="Arial" w:hAnsi="Arial" w:cs="Arial"/>
                <w:b/>
                <w:bCs/>
                <w:sz w:val="22"/>
                <w:szCs w:val="22"/>
              </w:rPr>
            </w:pPr>
          </w:p>
        </w:tc>
        <w:tc>
          <w:tcPr>
            <w:tcW w:w="1400" w:type="dxa"/>
            <w:tcBorders>
              <w:top w:val="nil"/>
              <w:left w:val="nil"/>
              <w:bottom w:val="nil"/>
              <w:right w:val="nil"/>
            </w:tcBorders>
            <w:shd w:val="clear" w:color="auto" w:fill="auto"/>
            <w:noWrap/>
            <w:vAlign w:val="bottom"/>
            <w:hideMark/>
          </w:tcPr>
          <w:p w:rsidR="006C217D" w:rsidRDefault="006C217D">
            <w:pPr>
              <w:jc w:val="right"/>
              <w:rPr>
                <w:rFonts w:ascii="Arial" w:hAnsi="Arial" w:cs="Arial"/>
                <w:b/>
                <w:bCs/>
                <w:sz w:val="22"/>
                <w:szCs w:val="22"/>
              </w:rPr>
            </w:pP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b/>
                <w:bCs/>
                <w:sz w:val="22"/>
                <w:szCs w:val="22"/>
              </w:rPr>
            </w:pP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b/>
                <w:bCs/>
                <w:sz w:val="22"/>
                <w:szCs w:val="22"/>
              </w:rPr>
            </w:pPr>
          </w:p>
        </w:tc>
      </w:tr>
      <w:tr w:rsidR="006C217D" w:rsidTr="006C217D">
        <w:trPr>
          <w:trHeight w:val="285"/>
        </w:trPr>
        <w:tc>
          <w:tcPr>
            <w:tcW w:w="2860" w:type="dxa"/>
            <w:tcBorders>
              <w:top w:val="nil"/>
              <w:left w:val="nil"/>
              <w:bottom w:val="nil"/>
              <w:right w:val="nil"/>
            </w:tcBorders>
            <w:shd w:val="clear" w:color="auto" w:fill="auto"/>
            <w:noWrap/>
            <w:vAlign w:val="bottom"/>
            <w:hideMark/>
          </w:tcPr>
          <w:p w:rsidR="006C217D" w:rsidRDefault="006C217D">
            <w:pPr>
              <w:rPr>
                <w:rFonts w:ascii="Arial" w:hAnsi="Arial" w:cs="Arial"/>
                <w:sz w:val="22"/>
                <w:szCs w:val="22"/>
              </w:rPr>
            </w:pPr>
          </w:p>
        </w:tc>
        <w:tc>
          <w:tcPr>
            <w:tcW w:w="144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p>
        </w:tc>
        <w:tc>
          <w:tcPr>
            <w:tcW w:w="14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p>
        </w:tc>
      </w:tr>
      <w:tr w:rsidR="006C217D" w:rsidTr="006C217D">
        <w:trPr>
          <w:trHeight w:val="285"/>
        </w:trPr>
        <w:tc>
          <w:tcPr>
            <w:tcW w:w="2860" w:type="dxa"/>
            <w:tcBorders>
              <w:top w:val="nil"/>
              <w:left w:val="nil"/>
              <w:bottom w:val="nil"/>
              <w:right w:val="nil"/>
            </w:tcBorders>
            <w:shd w:val="clear" w:color="auto" w:fill="auto"/>
            <w:noWrap/>
            <w:vAlign w:val="bottom"/>
            <w:hideMark/>
          </w:tcPr>
          <w:p w:rsidR="006C217D" w:rsidRDefault="006C217D">
            <w:pPr>
              <w:rPr>
                <w:rFonts w:ascii="Arial" w:hAnsi="Arial" w:cs="Arial"/>
                <w:sz w:val="22"/>
                <w:szCs w:val="22"/>
              </w:rPr>
            </w:pPr>
            <w:r>
              <w:rPr>
                <w:rFonts w:ascii="Arial" w:hAnsi="Arial" w:cs="Arial"/>
                <w:sz w:val="22"/>
                <w:szCs w:val="22"/>
              </w:rPr>
              <w:t>Langsiktig gjeld</w:t>
            </w:r>
          </w:p>
        </w:tc>
        <w:tc>
          <w:tcPr>
            <w:tcW w:w="144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20 824</w:t>
            </w:r>
          </w:p>
        </w:tc>
        <w:tc>
          <w:tcPr>
            <w:tcW w:w="14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20 824</w:t>
            </w: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0</w:t>
            </w: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0</w:t>
            </w:r>
          </w:p>
        </w:tc>
      </w:tr>
      <w:tr w:rsidR="006C217D" w:rsidTr="006C217D">
        <w:trPr>
          <w:trHeight w:val="285"/>
        </w:trPr>
        <w:tc>
          <w:tcPr>
            <w:tcW w:w="2860" w:type="dxa"/>
            <w:tcBorders>
              <w:top w:val="nil"/>
              <w:left w:val="nil"/>
              <w:bottom w:val="nil"/>
              <w:right w:val="nil"/>
            </w:tcBorders>
            <w:shd w:val="clear" w:color="auto" w:fill="auto"/>
            <w:noWrap/>
            <w:vAlign w:val="bottom"/>
            <w:hideMark/>
          </w:tcPr>
          <w:p w:rsidR="006C217D" w:rsidRDefault="006C217D">
            <w:pPr>
              <w:rPr>
                <w:rFonts w:ascii="Arial" w:hAnsi="Arial" w:cs="Arial"/>
                <w:sz w:val="22"/>
                <w:szCs w:val="22"/>
              </w:rPr>
            </w:pPr>
            <w:r>
              <w:rPr>
                <w:rFonts w:ascii="Arial" w:hAnsi="Arial" w:cs="Arial"/>
                <w:sz w:val="22"/>
                <w:szCs w:val="22"/>
              </w:rPr>
              <w:t>Leverandørgjeld</w:t>
            </w:r>
          </w:p>
        </w:tc>
        <w:tc>
          <w:tcPr>
            <w:tcW w:w="144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57 967</w:t>
            </w:r>
          </w:p>
        </w:tc>
        <w:tc>
          <w:tcPr>
            <w:tcW w:w="14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206 182</w:t>
            </w: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396 008</w:t>
            </w: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75 543</w:t>
            </w:r>
          </w:p>
        </w:tc>
      </w:tr>
      <w:tr w:rsidR="006C217D" w:rsidTr="006C217D">
        <w:trPr>
          <w:trHeight w:val="285"/>
        </w:trPr>
        <w:tc>
          <w:tcPr>
            <w:tcW w:w="2860" w:type="dxa"/>
            <w:tcBorders>
              <w:top w:val="nil"/>
              <w:left w:val="nil"/>
              <w:bottom w:val="nil"/>
              <w:right w:val="nil"/>
            </w:tcBorders>
            <w:shd w:val="clear" w:color="auto" w:fill="auto"/>
            <w:noWrap/>
            <w:vAlign w:val="bottom"/>
            <w:hideMark/>
          </w:tcPr>
          <w:p w:rsidR="006C217D" w:rsidRDefault="006C217D">
            <w:pPr>
              <w:rPr>
                <w:rFonts w:ascii="Arial" w:hAnsi="Arial" w:cs="Arial"/>
                <w:sz w:val="22"/>
                <w:szCs w:val="22"/>
              </w:rPr>
            </w:pPr>
            <w:r>
              <w:rPr>
                <w:rFonts w:ascii="Arial" w:hAnsi="Arial" w:cs="Arial"/>
                <w:sz w:val="22"/>
                <w:szCs w:val="22"/>
              </w:rPr>
              <w:t>Kortsiktig gjeld</w:t>
            </w:r>
          </w:p>
        </w:tc>
        <w:tc>
          <w:tcPr>
            <w:tcW w:w="144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34 300</w:t>
            </w:r>
          </w:p>
        </w:tc>
        <w:tc>
          <w:tcPr>
            <w:tcW w:w="14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85 703</w:t>
            </w: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101 620</w:t>
            </w: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94 508</w:t>
            </w:r>
          </w:p>
        </w:tc>
      </w:tr>
      <w:tr w:rsidR="006C217D" w:rsidTr="006C217D">
        <w:trPr>
          <w:trHeight w:val="285"/>
        </w:trPr>
        <w:tc>
          <w:tcPr>
            <w:tcW w:w="2860" w:type="dxa"/>
            <w:tcBorders>
              <w:top w:val="nil"/>
              <w:left w:val="nil"/>
              <w:bottom w:val="nil"/>
              <w:right w:val="nil"/>
            </w:tcBorders>
            <w:shd w:val="clear" w:color="000000" w:fill="FFFFFF"/>
            <w:noWrap/>
            <w:vAlign w:val="bottom"/>
            <w:hideMark/>
          </w:tcPr>
          <w:p w:rsidR="006C217D" w:rsidRDefault="006C217D">
            <w:pPr>
              <w:rPr>
                <w:rFonts w:ascii="Arial" w:hAnsi="Arial" w:cs="Arial"/>
                <w:sz w:val="22"/>
                <w:szCs w:val="22"/>
              </w:rPr>
            </w:pPr>
            <w:r>
              <w:rPr>
                <w:rFonts w:ascii="Arial" w:hAnsi="Arial" w:cs="Arial"/>
                <w:sz w:val="22"/>
                <w:szCs w:val="22"/>
              </w:rPr>
              <w:t>Mellomregning OR</w:t>
            </w:r>
          </w:p>
        </w:tc>
        <w:tc>
          <w:tcPr>
            <w:tcW w:w="144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39 175</w:t>
            </w:r>
          </w:p>
        </w:tc>
        <w:tc>
          <w:tcPr>
            <w:tcW w:w="14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40 401</w:t>
            </w:r>
          </w:p>
        </w:tc>
        <w:tc>
          <w:tcPr>
            <w:tcW w:w="13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88 489</w:t>
            </w:r>
          </w:p>
        </w:tc>
        <w:tc>
          <w:tcPr>
            <w:tcW w:w="13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46 256</w:t>
            </w:r>
          </w:p>
        </w:tc>
      </w:tr>
      <w:tr w:rsidR="006C217D" w:rsidTr="006C217D">
        <w:trPr>
          <w:trHeight w:val="285"/>
        </w:trPr>
        <w:tc>
          <w:tcPr>
            <w:tcW w:w="2860" w:type="dxa"/>
            <w:tcBorders>
              <w:top w:val="nil"/>
              <w:left w:val="nil"/>
              <w:bottom w:val="nil"/>
              <w:right w:val="nil"/>
            </w:tcBorders>
            <w:shd w:val="clear" w:color="000000" w:fill="FFFFFF"/>
            <w:noWrap/>
            <w:vAlign w:val="bottom"/>
            <w:hideMark/>
          </w:tcPr>
          <w:p w:rsidR="006C217D" w:rsidRDefault="006C217D">
            <w:pPr>
              <w:rPr>
                <w:rFonts w:ascii="Arial" w:hAnsi="Arial" w:cs="Arial"/>
                <w:sz w:val="22"/>
                <w:szCs w:val="22"/>
              </w:rPr>
            </w:pPr>
            <w:r>
              <w:rPr>
                <w:rFonts w:ascii="Arial" w:hAnsi="Arial" w:cs="Arial"/>
                <w:sz w:val="22"/>
                <w:szCs w:val="22"/>
              </w:rPr>
              <w:t>Mellomregning Kopivederlag</w:t>
            </w:r>
          </w:p>
        </w:tc>
        <w:tc>
          <w:tcPr>
            <w:tcW w:w="144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249 873</w:t>
            </w:r>
          </w:p>
        </w:tc>
        <w:tc>
          <w:tcPr>
            <w:tcW w:w="14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4 727</w:t>
            </w:r>
          </w:p>
        </w:tc>
        <w:tc>
          <w:tcPr>
            <w:tcW w:w="13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15 098</w:t>
            </w:r>
          </w:p>
        </w:tc>
        <w:tc>
          <w:tcPr>
            <w:tcW w:w="1300" w:type="dxa"/>
            <w:tcBorders>
              <w:top w:val="nil"/>
              <w:left w:val="nil"/>
              <w:bottom w:val="nil"/>
              <w:right w:val="nil"/>
            </w:tcBorders>
            <w:shd w:val="clear" w:color="000000" w:fill="FFFFFF"/>
            <w:noWrap/>
            <w:vAlign w:val="bottom"/>
            <w:hideMark/>
          </w:tcPr>
          <w:p w:rsidR="006C217D" w:rsidRDefault="006C217D">
            <w:pPr>
              <w:jc w:val="right"/>
              <w:rPr>
                <w:rFonts w:ascii="Arial" w:hAnsi="Arial" w:cs="Arial"/>
                <w:sz w:val="22"/>
                <w:szCs w:val="22"/>
              </w:rPr>
            </w:pPr>
            <w:r>
              <w:rPr>
                <w:rFonts w:ascii="Arial" w:hAnsi="Arial" w:cs="Arial"/>
                <w:sz w:val="22"/>
                <w:szCs w:val="22"/>
              </w:rPr>
              <w:t>86 652</w:t>
            </w:r>
          </w:p>
        </w:tc>
      </w:tr>
      <w:tr w:rsidR="006C217D" w:rsidTr="006C217D">
        <w:trPr>
          <w:trHeight w:val="285"/>
        </w:trPr>
        <w:tc>
          <w:tcPr>
            <w:tcW w:w="2860" w:type="dxa"/>
            <w:tcBorders>
              <w:top w:val="nil"/>
              <w:left w:val="nil"/>
              <w:bottom w:val="nil"/>
              <w:right w:val="nil"/>
            </w:tcBorders>
            <w:shd w:val="clear" w:color="auto" w:fill="auto"/>
            <w:noWrap/>
            <w:vAlign w:val="bottom"/>
            <w:hideMark/>
          </w:tcPr>
          <w:p w:rsidR="006C217D" w:rsidRDefault="006C217D">
            <w:pPr>
              <w:rPr>
                <w:rFonts w:ascii="Arial" w:hAnsi="Arial" w:cs="Arial"/>
                <w:sz w:val="22"/>
                <w:szCs w:val="22"/>
              </w:rPr>
            </w:pPr>
            <w:r>
              <w:rPr>
                <w:rFonts w:ascii="Arial" w:hAnsi="Arial" w:cs="Arial"/>
                <w:sz w:val="22"/>
                <w:szCs w:val="22"/>
              </w:rPr>
              <w:t>Skyldig skattetrekk</w:t>
            </w:r>
          </w:p>
        </w:tc>
        <w:tc>
          <w:tcPr>
            <w:tcW w:w="144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197 109</w:t>
            </w:r>
          </w:p>
        </w:tc>
        <w:tc>
          <w:tcPr>
            <w:tcW w:w="14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57 623</w:t>
            </w: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173 974</w:t>
            </w: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148 402</w:t>
            </w:r>
          </w:p>
        </w:tc>
      </w:tr>
      <w:tr w:rsidR="006C217D" w:rsidTr="006C217D">
        <w:trPr>
          <w:trHeight w:val="285"/>
        </w:trPr>
        <w:tc>
          <w:tcPr>
            <w:tcW w:w="2860" w:type="dxa"/>
            <w:tcBorders>
              <w:top w:val="nil"/>
              <w:left w:val="nil"/>
              <w:bottom w:val="nil"/>
              <w:right w:val="nil"/>
            </w:tcBorders>
            <w:shd w:val="clear" w:color="auto" w:fill="auto"/>
            <w:noWrap/>
            <w:vAlign w:val="bottom"/>
            <w:hideMark/>
          </w:tcPr>
          <w:p w:rsidR="006C217D" w:rsidRDefault="006C217D">
            <w:pPr>
              <w:rPr>
                <w:rFonts w:ascii="Arial" w:hAnsi="Arial" w:cs="Arial"/>
                <w:sz w:val="22"/>
                <w:szCs w:val="22"/>
              </w:rPr>
            </w:pPr>
            <w:r>
              <w:rPr>
                <w:rFonts w:ascii="Arial" w:hAnsi="Arial" w:cs="Arial"/>
                <w:sz w:val="22"/>
                <w:szCs w:val="22"/>
              </w:rPr>
              <w:t>Offentlige avgifter</w:t>
            </w:r>
          </w:p>
        </w:tc>
        <w:tc>
          <w:tcPr>
            <w:tcW w:w="144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89 020</w:t>
            </w:r>
          </w:p>
        </w:tc>
        <w:tc>
          <w:tcPr>
            <w:tcW w:w="14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96 403</w:t>
            </w: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144 966</w:t>
            </w: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143 702</w:t>
            </w:r>
          </w:p>
        </w:tc>
      </w:tr>
      <w:tr w:rsidR="006C217D" w:rsidTr="006C217D">
        <w:trPr>
          <w:trHeight w:val="285"/>
        </w:trPr>
        <w:tc>
          <w:tcPr>
            <w:tcW w:w="2860" w:type="dxa"/>
            <w:tcBorders>
              <w:top w:val="nil"/>
              <w:left w:val="nil"/>
              <w:bottom w:val="nil"/>
              <w:right w:val="nil"/>
            </w:tcBorders>
            <w:shd w:val="clear" w:color="auto" w:fill="auto"/>
            <w:noWrap/>
            <w:vAlign w:val="bottom"/>
            <w:hideMark/>
          </w:tcPr>
          <w:p w:rsidR="006C217D" w:rsidRDefault="006C217D">
            <w:pPr>
              <w:rPr>
                <w:rFonts w:ascii="Arial" w:hAnsi="Arial" w:cs="Arial"/>
                <w:sz w:val="22"/>
                <w:szCs w:val="22"/>
              </w:rPr>
            </w:pPr>
            <w:r>
              <w:rPr>
                <w:rFonts w:ascii="Arial" w:hAnsi="Arial" w:cs="Arial"/>
                <w:sz w:val="22"/>
                <w:szCs w:val="22"/>
              </w:rPr>
              <w:t>Avsatte feriepenger</w:t>
            </w:r>
          </w:p>
        </w:tc>
        <w:tc>
          <w:tcPr>
            <w:tcW w:w="144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176 056</w:t>
            </w:r>
          </w:p>
        </w:tc>
        <w:tc>
          <w:tcPr>
            <w:tcW w:w="14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271 470</w:t>
            </w: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261 003</w:t>
            </w: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254 893</w:t>
            </w:r>
          </w:p>
        </w:tc>
      </w:tr>
      <w:tr w:rsidR="006C217D" w:rsidTr="006C217D">
        <w:trPr>
          <w:trHeight w:val="285"/>
        </w:trPr>
        <w:tc>
          <w:tcPr>
            <w:tcW w:w="2860" w:type="dxa"/>
            <w:tcBorders>
              <w:top w:val="nil"/>
              <w:left w:val="nil"/>
              <w:bottom w:val="nil"/>
              <w:right w:val="nil"/>
            </w:tcBorders>
            <w:shd w:val="clear" w:color="auto" w:fill="auto"/>
            <w:noWrap/>
            <w:vAlign w:val="bottom"/>
            <w:hideMark/>
          </w:tcPr>
          <w:p w:rsidR="006C217D" w:rsidRDefault="006C217D">
            <w:pPr>
              <w:rPr>
                <w:rFonts w:ascii="Arial" w:hAnsi="Arial" w:cs="Arial"/>
                <w:sz w:val="22"/>
                <w:szCs w:val="22"/>
              </w:rPr>
            </w:pPr>
            <w:r>
              <w:rPr>
                <w:rFonts w:ascii="Arial" w:hAnsi="Arial" w:cs="Arial"/>
                <w:sz w:val="22"/>
                <w:szCs w:val="22"/>
              </w:rPr>
              <w:t>Periodiserte inntekter</w:t>
            </w:r>
          </w:p>
        </w:tc>
        <w:tc>
          <w:tcPr>
            <w:tcW w:w="144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2 421 066</w:t>
            </w:r>
          </w:p>
        </w:tc>
        <w:tc>
          <w:tcPr>
            <w:tcW w:w="14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0</w:t>
            </w: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0</w:t>
            </w: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r>
              <w:rPr>
                <w:rFonts w:ascii="Arial" w:hAnsi="Arial" w:cs="Arial"/>
                <w:sz w:val="22"/>
                <w:szCs w:val="22"/>
              </w:rPr>
              <w:t>0</w:t>
            </w:r>
          </w:p>
        </w:tc>
      </w:tr>
      <w:tr w:rsidR="006C217D" w:rsidTr="006C217D">
        <w:trPr>
          <w:trHeight w:val="300"/>
        </w:trPr>
        <w:tc>
          <w:tcPr>
            <w:tcW w:w="2860" w:type="dxa"/>
            <w:tcBorders>
              <w:top w:val="single" w:sz="4" w:space="0" w:color="auto"/>
              <w:left w:val="nil"/>
              <w:bottom w:val="single" w:sz="4" w:space="0" w:color="auto"/>
              <w:right w:val="nil"/>
            </w:tcBorders>
            <w:shd w:val="clear" w:color="auto" w:fill="auto"/>
            <w:noWrap/>
            <w:vAlign w:val="bottom"/>
            <w:hideMark/>
          </w:tcPr>
          <w:p w:rsidR="006C217D" w:rsidRDefault="006C217D">
            <w:pPr>
              <w:rPr>
                <w:rFonts w:ascii="Arial" w:hAnsi="Arial" w:cs="Arial"/>
                <w:b/>
                <w:bCs/>
                <w:sz w:val="22"/>
                <w:szCs w:val="22"/>
              </w:rPr>
            </w:pPr>
            <w:r>
              <w:rPr>
                <w:rFonts w:ascii="Arial" w:hAnsi="Arial" w:cs="Arial"/>
                <w:b/>
                <w:bCs/>
                <w:sz w:val="22"/>
                <w:szCs w:val="22"/>
              </w:rPr>
              <w:t>Sum gjeld</w:t>
            </w:r>
          </w:p>
        </w:tc>
        <w:tc>
          <w:tcPr>
            <w:tcW w:w="1440" w:type="dxa"/>
            <w:tcBorders>
              <w:top w:val="single" w:sz="4" w:space="0" w:color="auto"/>
              <w:left w:val="nil"/>
              <w:bottom w:val="single" w:sz="4" w:space="0" w:color="auto"/>
              <w:right w:val="nil"/>
            </w:tcBorders>
            <w:shd w:val="clear" w:color="auto" w:fill="auto"/>
            <w:noWrap/>
            <w:vAlign w:val="bottom"/>
            <w:hideMark/>
          </w:tcPr>
          <w:p w:rsidR="006C217D" w:rsidRDefault="006C217D">
            <w:pPr>
              <w:jc w:val="right"/>
              <w:rPr>
                <w:rFonts w:ascii="Arial" w:hAnsi="Arial" w:cs="Arial"/>
                <w:b/>
                <w:bCs/>
                <w:sz w:val="22"/>
                <w:szCs w:val="22"/>
              </w:rPr>
            </w:pPr>
            <w:r>
              <w:rPr>
                <w:rFonts w:ascii="Arial" w:hAnsi="Arial" w:cs="Arial"/>
                <w:b/>
                <w:bCs/>
                <w:sz w:val="22"/>
                <w:szCs w:val="22"/>
              </w:rPr>
              <w:t>3 285 390</w:t>
            </w:r>
          </w:p>
        </w:tc>
        <w:tc>
          <w:tcPr>
            <w:tcW w:w="1400" w:type="dxa"/>
            <w:tcBorders>
              <w:top w:val="single" w:sz="4" w:space="0" w:color="auto"/>
              <w:left w:val="nil"/>
              <w:bottom w:val="single" w:sz="4" w:space="0" w:color="auto"/>
              <w:right w:val="nil"/>
            </w:tcBorders>
            <w:shd w:val="clear" w:color="auto" w:fill="auto"/>
            <w:noWrap/>
            <w:vAlign w:val="bottom"/>
            <w:hideMark/>
          </w:tcPr>
          <w:p w:rsidR="006C217D" w:rsidRDefault="006C217D">
            <w:pPr>
              <w:jc w:val="right"/>
              <w:rPr>
                <w:rFonts w:ascii="Arial" w:hAnsi="Arial" w:cs="Arial"/>
                <w:b/>
                <w:bCs/>
                <w:sz w:val="22"/>
                <w:szCs w:val="22"/>
              </w:rPr>
            </w:pPr>
            <w:r>
              <w:rPr>
                <w:rFonts w:ascii="Arial" w:hAnsi="Arial" w:cs="Arial"/>
                <w:b/>
                <w:bCs/>
                <w:sz w:val="22"/>
                <w:szCs w:val="22"/>
              </w:rPr>
              <w:t>783 334</w:t>
            </w:r>
          </w:p>
        </w:tc>
        <w:tc>
          <w:tcPr>
            <w:tcW w:w="1300" w:type="dxa"/>
            <w:tcBorders>
              <w:top w:val="single" w:sz="4" w:space="0" w:color="auto"/>
              <w:left w:val="nil"/>
              <w:bottom w:val="single" w:sz="4" w:space="0" w:color="auto"/>
              <w:right w:val="nil"/>
            </w:tcBorders>
            <w:shd w:val="clear" w:color="auto" w:fill="auto"/>
            <w:noWrap/>
            <w:vAlign w:val="bottom"/>
            <w:hideMark/>
          </w:tcPr>
          <w:p w:rsidR="006C217D" w:rsidRDefault="006C217D">
            <w:pPr>
              <w:jc w:val="right"/>
              <w:rPr>
                <w:rFonts w:ascii="Arial" w:hAnsi="Arial" w:cs="Arial"/>
                <w:b/>
                <w:bCs/>
                <w:sz w:val="22"/>
                <w:szCs w:val="22"/>
              </w:rPr>
            </w:pPr>
            <w:r>
              <w:rPr>
                <w:rFonts w:ascii="Arial" w:hAnsi="Arial" w:cs="Arial"/>
                <w:b/>
                <w:bCs/>
                <w:sz w:val="22"/>
                <w:szCs w:val="22"/>
              </w:rPr>
              <w:t>1 181 158</w:t>
            </w:r>
          </w:p>
        </w:tc>
        <w:tc>
          <w:tcPr>
            <w:tcW w:w="1300" w:type="dxa"/>
            <w:tcBorders>
              <w:top w:val="single" w:sz="4" w:space="0" w:color="auto"/>
              <w:left w:val="nil"/>
              <w:bottom w:val="single" w:sz="4" w:space="0" w:color="auto"/>
              <w:right w:val="nil"/>
            </w:tcBorders>
            <w:shd w:val="clear" w:color="auto" w:fill="auto"/>
            <w:noWrap/>
            <w:vAlign w:val="bottom"/>
            <w:hideMark/>
          </w:tcPr>
          <w:p w:rsidR="006C217D" w:rsidRDefault="006C217D">
            <w:pPr>
              <w:jc w:val="right"/>
              <w:rPr>
                <w:rFonts w:ascii="Arial" w:hAnsi="Arial" w:cs="Arial"/>
                <w:b/>
                <w:bCs/>
                <w:sz w:val="22"/>
                <w:szCs w:val="22"/>
              </w:rPr>
            </w:pPr>
            <w:r>
              <w:rPr>
                <w:rFonts w:ascii="Arial" w:hAnsi="Arial" w:cs="Arial"/>
                <w:b/>
                <w:bCs/>
                <w:sz w:val="22"/>
                <w:szCs w:val="22"/>
              </w:rPr>
              <w:t>849 956</w:t>
            </w:r>
          </w:p>
        </w:tc>
      </w:tr>
      <w:tr w:rsidR="006C217D" w:rsidTr="006C217D">
        <w:trPr>
          <w:trHeight w:val="285"/>
        </w:trPr>
        <w:tc>
          <w:tcPr>
            <w:tcW w:w="2860" w:type="dxa"/>
            <w:tcBorders>
              <w:top w:val="nil"/>
              <w:left w:val="nil"/>
              <w:bottom w:val="nil"/>
              <w:right w:val="nil"/>
            </w:tcBorders>
            <w:shd w:val="clear" w:color="auto" w:fill="auto"/>
            <w:noWrap/>
            <w:vAlign w:val="bottom"/>
            <w:hideMark/>
          </w:tcPr>
          <w:p w:rsidR="006C217D" w:rsidRDefault="006C217D">
            <w:pPr>
              <w:rPr>
                <w:rFonts w:ascii="Arial" w:hAnsi="Arial" w:cs="Arial"/>
                <w:sz w:val="22"/>
                <w:szCs w:val="22"/>
              </w:rPr>
            </w:pPr>
          </w:p>
        </w:tc>
        <w:tc>
          <w:tcPr>
            <w:tcW w:w="144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p>
        </w:tc>
        <w:tc>
          <w:tcPr>
            <w:tcW w:w="14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sz w:val="22"/>
                <w:szCs w:val="22"/>
              </w:rPr>
            </w:pPr>
          </w:p>
        </w:tc>
      </w:tr>
      <w:tr w:rsidR="006C217D" w:rsidTr="006C217D">
        <w:trPr>
          <w:trHeight w:val="315"/>
        </w:trPr>
        <w:tc>
          <w:tcPr>
            <w:tcW w:w="2860" w:type="dxa"/>
            <w:tcBorders>
              <w:top w:val="nil"/>
              <w:left w:val="nil"/>
              <w:bottom w:val="single" w:sz="8" w:space="0" w:color="auto"/>
              <w:right w:val="nil"/>
            </w:tcBorders>
            <w:shd w:val="clear" w:color="auto" w:fill="auto"/>
            <w:noWrap/>
            <w:vAlign w:val="bottom"/>
            <w:hideMark/>
          </w:tcPr>
          <w:p w:rsidR="006C217D" w:rsidRDefault="006C217D">
            <w:pPr>
              <w:rPr>
                <w:rFonts w:ascii="Arial" w:hAnsi="Arial" w:cs="Arial"/>
                <w:b/>
                <w:bCs/>
                <w:sz w:val="22"/>
                <w:szCs w:val="22"/>
              </w:rPr>
            </w:pPr>
            <w:r>
              <w:rPr>
                <w:rFonts w:ascii="Arial" w:hAnsi="Arial" w:cs="Arial"/>
                <w:b/>
                <w:bCs/>
                <w:sz w:val="22"/>
                <w:szCs w:val="22"/>
              </w:rPr>
              <w:t>Sum gjeld og egenkapital</w:t>
            </w:r>
          </w:p>
        </w:tc>
        <w:tc>
          <w:tcPr>
            <w:tcW w:w="1440" w:type="dxa"/>
            <w:tcBorders>
              <w:top w:val="nil"/>
              <w:left w:val="nil"/>
              <w:bottom w:val="single" w:sz="8" w:space="0" w:color="auto"/>
              <w:right w:val="nil"/>
            </w:tcBorders>
            <w:shd w:val="clear" w:color="auto" w:fill="auto"/>
            <w:noWrap/>
            <w:vAlign w:val="bottom"/>
            <w:hideMark/>
          </w:tcPr>
          <w:p w:rsidR="006C217D" w:rsidRDefault="006C217D">
            <w:pPr>
              <w:jc w:val="right"/>
              <w:rPr>
                <w:rFonts w:ascii="Arial" w:hAnsi="Arial" w:cs="Arial"/>
                <w:b/>
                <w:bCs/>
                <w:sz w:val="22"/>
                <w:szCs w:val="22"/>
              </w:rPr>
            </w:pPr>
            <w:r>
              <w:rPr>
                <w:rFonts w:ascii="Arial" w:hAnsi="Arial" w:cs="Arial"/>
                <w:b/>
                <w:bCs/>
                <w:sz w:val="22"/>
                <w:szCs w:val="22"/>
              </w:rPr>
              <w:t>8 204 045</w:t>
            </w:r>
          </w:p>
        </w:tc>
        <w:tc>
          <w:tcPr>
            <w:tcW w:w="1400" w:type="dxa"/>
            <w:tcBorders>
              <w:top w:val="nil"/>
              <w:left w:val="nil"/>
              <w:bottom w:val="single" w:sz="8" w:space="0" w:color="auto"/>
              <w:right w:val="nil"/>
            </w:tcBorders>
            <w:shd w:val="clear" w:color="auto" w:fill="auto"/>
            <w:noWrap/>
            <w:vAlign w:val="bottom"/>
            <w:hideMark/>
          </w:tcPr>
          <w:p w:rsidR="006C217D" w:rsidRDefault="006C217D">
            <w:pPr>
              <w:jc w:val="right"/>
              <w:rPr>
                <w:rFonts w:ascii="Arial" w:hAnsi="Arial" w:cs="Arial"/>
                <w:b/>
                <w:bCs/>
                <w:sz w:val="22"/>
                <w:szCs w:val="22"/>
              </w:rPr>
            </w:pPr>
            <w:r>
              <w:rPr>
                <w:rFonts w:ascii="Arial" w:hAnsi="Arial" w:cs="Arial"/>
                <w:b/>
                <w:bCs/>
                <w:sz w:val="22"/>
                <w:szCs w:val="22"/>
              </w:rPr>
              <w:t>5 517 208</w:t>
            </w:r>
          </w:p>
        </w:tc>
        <w:tc>
          <w:tcPr>
            <w:tcW w:w="1300" w:type="dxa"/>
            <w:tcBorders>
              <w:top w:val="nil"/>
              <w:left w:val="nil"/>
              <w:bottom w:val="single" w:sz="8" w:space="0" w:color="auto"/>
              <w:right w:val="nil"/>
            </w:tcBorders>
            <w:shd w:val="clear" w:color="auto" w:fill="auto"/>
            <w:noWrap/>
            <w:vAlign w:val="bottom"/>
            <w:hideMark/>
          </w:tcPr>
          <w:p w:rsidR="006C217D" w:rsidRDefault="006C217D">
            <w:pPr>
              <w:jc w:val="right"/>
              <w:rPr>
                <w:rFonts w:ascii="Arial" w:hAnsi="Arial" w:cs="Arial"/>
                <w:b/>
                <w:bCs/>
                <w:sz w:val="22"/>
                <w:szCs w:val="22"/>
              </w:rPr>
            </w:pPr>
            <w:r>
              <w:rPr>
                <w:rFonts w:ascii="Arial" w:hAnsi="Arial" w:cs="Arial"/>
                <w:b/>
                <w:bCs/>
                <w:sz w:val="22"/>
                <w:szCs w:val="22"/>
              </w:rPr>
              <w:t>6 014 059</w:t>
            </w:r>
          </w:p>
        </w:tc>
        <w:tc>
          <w:tcPr>
            <w:tcW w:w="1300" w:type="dxa"/>
            <w:tcBorders>
              <w:top w:val="nil"/>
              <w:left w:val="nil"/>
              <w:bottom w:val="single" w:sz="8" w:space="0" w:color="auto"/>
              <w:right w:val="nil"/>
            </w:tcBorders>
            <w:shd w:val="clear" w:color="auto" w:fill="auto"/>
            <w:noWrap/>
            <w:vAlign w:val="bottom"/>
            <w:hideMark/>
          </w:tcPr>
          <w:p w:rsidR="006C217D" w:rsidRDefault="006C217D">
            <w:pPr>
              <w:jc w:val="right"/>
              <w:rPr>
                <w:rFonts w:ascii="Arial" w:hAnsi="Arial" w:cs="Arial"/>
                <w:b/>
                <w:bCs/>
                <w:sz w:val="22"/>
                <w:szCs w:val="22"/>
              </w:rPr>
            </w:pPr>
            <w:r>
              <w:rPr>
                <w:rFonts w:ascii="Arial" w:hAnsi="Arial" w:cs="Arial"/>
                <w:b/>
                <w:bCs/>
                <w:sz w:val="22"/>
                <w:szCs w:val="22"/>
              </w:rPr>
              <w:t>5 749 750</w:t>
            </w:r>
          </w:p>
        </w:tc>
      </w:tr>
      <w:tr w:rsidR="006C217D" w:rsidTr="006C217D">
        <w:trPr>
          <w:trHeight w:val="300"/>
        </w:trPr>
        <w:tc>
          <w:tcPr>
            <w:tcW w:w="2860" w:type="dxa"/>
            <w:tcBorders>
              <w:top w:val="nil"/>
              <w:left w:val="nil"/>
              <w:bottom w:val="nil"/>
              <w:right w:val="nil"/>
            </w:tcBorders>
            <w:shd w:val="clear" w:color="auto" w:fill="auto"/>
            <w:noWrap/>
            <w:vAlign w:val="bottom"/>
            <w:hideMark/>
          </w:tcPr>
          <w:p w:rsidR="006C217D" w:rsidRDefault="006C217D">
            <w:pPr>
              <w:rPr>
                <w:rFonts w:ascii="Arial" w:hAnsi="Arial" w:cs="Arial"/>
              </w:rPr>
            </w:pPr>
          </w:p>
        </w:tc>
        <w:tc>
          <w:tcPr>
            <w:tcW w:w="1440" w:type="dxa"/>
            <w:tcBorders>
              <w:top w:val="nil"/>
              <w:left w:val="nil"/>
              <w:bottom w:val="nil"/>
              <w:right w:val="nil"/>
            </w:tcBorders>
            <w:shd w:val="clear" w:color="auto" w:fill="auto"/>
            <w:noWrap/>
            <w:vAlign w:val="bottom"/>
            <w:hideMark/>
          </w:tcPr>
          <w:p w:rsidR="006C217D" w:rsidRDefault="006C217D">
            <w:pPr>
              <w:rPr>
                <w:rFonts w:ascii="Arial" w:hAnsi="Arial" w:cs="Arial"/>
              </w:rPr>
            </w:pPr>
          </w:p>
        </w:tc>
        <w:tc>
          <w:tcPr>
            <w:tcW w:w="1400" w:type="dxa"/>
            <w:tcBorders>
              <w:top w:val="nil"/>
              <w:left w:val="nil"/>
              <w:bottom w:val="nil"/>
              <w:right w:val="nil"/>
            </w:tcBorders>
            <w:shd w:val="clear" w:color="auto" w:fill="auto"/>
            <w:noWrap/>
            <w:vAlign w:val="bottom"/>
            <w:hideMark/>
          </w:tcPr>
          <w:p w:rsidR="006C217D" w:rsidRDefault="006C217D">
            <w:pPr>
              <w:rPr>
                <w:rFonts w:ascii="Arial" w:hAnsi="Arial" w:cs="Arial"/>
              </w:rPr>
            </w:pPr>
          </w:p>
        </w:tc>
        <w:tc>
          <w:tcPr>
            <w:tcW w:w="1300" w:type="dxa"/>
            <w:tcBorders>
              <w:top w:val="nil"/>
              <w:left w:val="nil"/>
              <w:bottom w:val="nil"/>
              <w:right w:val="nil"/>
            </w:tcBorders>
            <w:shd w:val="clear" w:color="auto" w:fill="auto"/>
            <w:noWrap/>
            <w:vAlign w:val="bottom"/>
            <w:hideMark/>
          </w:tcPr>
          <w:p w:rsidR="006C217D" w:rsidRDefault="006C217D">
            <w:pPr>
              <w:jc w:val="right"/>
              <w:rPr>
                <w:rFonts w:ascii="Arial" w:hAnsi="Arial" w:cs="Arial"/>
              </w:rPr>
            </w:pPr>
          </w:p>
        </w:tc>
        <w:tc>
          <w:tcPr>
            <w:tcW w:w="1300" w:type="dxa"/>
            <w:tcBorders>
              <w:top w:val="nil"/>
              <w:left w:val="nil"/>
              <w:bottom w:val="nil"/>
              <w:right w:val="nil"/>
            </w:tcBorders>
            <w:shd w:val="clear" w:color="auto" w:fill="auto"/>
            <w:noWrap/>
            <w:vAlign w:val="bottom"/>
            <w:hideMark/>
          </w:tcPr>
          <w:p w:rsidR="006C217D" w:rsidRDefault="006C217D">
            <w:pPr>
              <w:rPr>
                <w:rFonts w:ascii="Arial" w:hAnsi="Arial" w:cs="Arial"/>
              </w:rPr>
            </w:pPr>
          </w:p>
        </w:tc>
      </w:tr>
    </w:tbl>
    <w:p w:rsidR="006C217D" w:rsidRDefault="006C217D" w:rsidP="006C217D"/>
    <w:sectPr w:rsidR="006C217D" w:rsidSect="00881A79">
      <w:type w:val="continuous"/>
      <w:pgSz w:w="11906" w:h="16838"/>
      <w:pgMar w:top="1134"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E5A" w:rsidRDefault="00A45E5A" w:rsidP="00F355CD">
      <w:r>
        <w:separator/>
      </w:r>
    </w:p>
  </w:endnote>
  <w:endnote w:type="continuationSeparator" w:id="0">
    <w:p w:rsidR="00A45E5A" w:rsidRDefault="00A45E5A" w:rsidP="00F355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E5A" w:rsidRDefault="00A45E5A" w:rsidP="00F355CD">
      <w:r>
        <w:separator/>
      </w:r>
    </w:p>
  </w:footnote>
  <w:footnote w:type="continuationSeparator" w:id="0">
    <w:p w:rsidR="00A45E5A" w:rsidRDefault="00A45E5A" w:rsidP="00F355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characterSpacingControl w:val="doNotCompress"/>
  <w:footnotePr>
    <w:footnote w:id="-1"/>
    <w:footnote w:id="0"/>
  </w:footnotePr>
  <w:endnotePr>
    <w:endnote w:id="-1"/>
    <w:endnote w:id="0"/>
  </w:endnotePr>
  <w:compat/>
  <w:rsids>
    <w:rsidRoot w:val="00156E09"/>
    <w:rsid w:val="00066F7A"/>
    <w:rsid w:val="000708E5"/>
    <w:rsid w:val="00156E09"/>
    <w:rsid w:val="001800B5"/>
    <w:rsid w:val="001B74BF"/>
    <w:rsid w:val="001D7B1B"/>
    <w:rsid w:val="00235226"/>
    <w:rsid w:val="002A2C1E"/>
    <w:rsid w:val="002B449F"/>
    <w:rsid w:val="003166F4"/>
    <w:rsid w:val="003854D8"/>
    <w:rsid w:val="003D6415"/>
    <w:rsid w:val="003F7A9B"/>
    <w:rsid w:val="00470806"/>
    <w:rsid w:val="004F178B"/>
    <w:rsid w:val="004F4A8E"/>
    <w:rsid w:val="00506DAF"/>
    <w:rsid w:val="00532B4C"/>
    <w:rsid w:val="005501A4"/>
    <w:rsid w:val="00654587"/>
    <w:rsid w:val="006C217D"/>
    <w:rsid w:val="00745546"/>
    <w:rsid w:val="007E3CAE"/>
    <w:rsid w:val="00805257"/>
    <w:rsid w:val="00835078"/>
    <w:rsid w:val="00844BDC"/>
    <w:rsid w:val="00845F7B"/>
    <w:rsid w:val="00851F84"/>
    <w:rsid w:val="00861F5B"/>
    <w:rsid w:val="00881A79"/>
    <w:rsid w:val="008B446E"/>
    <w:rsid w:val="00951D36"/>
    <w:rsid w:val="0096425D"/>
    <w:rsid w:val="009664A1"/>
    <w:rsid w:val="00981DA0"/>
    <w:rsid w:val="009833FF"/>
    <w:rsid w:val="009C0765"/>
    <w:rsid w:val="009C37E0"/>
    <w:rsid w:val="009C4976"/>
    <w:rsid w:val="009E0EF9"/>
    <w:rsid w:val="00A04260"/>
    <w:rsid w:val="00A24DC6"/>
    <w:rsid w:val="00A4299B"/>
    <w:rsid w:val="00A45E5A"/>
    <w:rsid w:val="00AD4D7A"/>
    <w:rsid w:val="00B74A80"/>
    <w:rsid w:val="00C12186"/>
    <w:rsid w:val="00C121EA"/>
    <w:rsid w:val="00C54FB3"/>
    <w:rsid w:val="00C67A64"/>
    <w:rsid w:val="00D57591"/>
    <w:rsid w:val="00D73BAC"/>
    <w:rsid w:val="00DF4533"/>
    <w:rsid w:val="00E46BC7"/>
    <w:rsid w:val="00E54D36"/>
    <w:rsid w:val="00EC0E02"/>
    <w:rsid w:val="00EC26E4"/>
    <w:rsid w:val="00F355CD"/>
    <w:rsid w:val="00FC21E9"/>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2B4C"/>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rsid w:val="004F4A8E"/>
    <w:rPr>
      <w:color w:val="0000FF"/>
      <w:u w:val="single"/>
    </w:rPr>
  </w:style>
  <w:style w:type="paragraph" w:styleId="Bobletekst">
    <w:name w:val="Balloon Text"/>
    <w:basedOn w:val="Normal"/>
    <w:semiHidden/>
    <w:rsid w:val="004F4A8E"/>
    <w:rPr>
      <w:rFonts w:ascii="Tahoma" w:hAnsi="Tahoma" w:cs="Tahoma"/>
      <w:sz w:val="16"/>
      <w:szCs w:val="16"/>
    </w:rPr>
  </w:style>
  <w:style w:type="paragraph" w:styleId="Fotnotetekst">
    <w:name w:val="footnote text"/>
    <w:basedOn w:val="Normal"/>
    <w:link w:val="FotnotetekstTegn"/>
    <w:unhideWhenUsed/>
    <w:rsid w:val="00F355CD"/>
    <w:rPr>
      <w:sz w:val="20"/>
      <w:szCs w:val="20"/>
    </w:rPr>
  </w:style>
  <w:style w:type="character" w:customStyle="1" w:styleId="FotnotetekstTegn">
    <w:name w:val="Fotnotetekst Tegn"/>
    <w:basedOn w:val="Standardskriftforavsnitt"/>
    <w:link w:val="Fotnotetekst"/>
    <w:rsid w:val="00F355CD"/>
  </w:style>
  <w:style w:type="character" w:styleId="Fotnotereferanse">
    <w:name w:val="footnote reference"/>
    <w:basedOn w:val="Standardskriftforavsnitt"/>
    <w:unhideWhenUsed/>
    <w:rsid w:val="00F355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2B4C"/>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rsid w:val="004F4A8E"/>
    <w:rPr>
      <w:color w:val="0000FF"/>
      <w:u w:val="single"/>
    </w:rPr>
  </w:style>
  <w:style w:type="paragraph" w:styleId="Bobletekst">
    <w:name w:val="Balloon Text"/>
    <w:basedOn w:val="Normal"/>
    <w:semiHidden/>
    <w:rsid w:val="004F4A8E"/>
    <w:rPr>
      <w:rFonts w:ascii="Tahoma" w:hAnsi="Tahoma" w:cs="Tahoma"/>
      <w:sz w:val="16"/>
      <w:szCs w:val="16"/>
    </w:rPr>
  </w:style>
  <w:style w:type="paragraph" w:styleId="Fotnotetekst">
    <w:name w:val="footnote text"/>
    <w:basedOn w:val="Normal"/>
    <w:link w:val="FotnotetekstTegn"/>
    <w:unhideWhenUsed/>
    <w:rsid w:val="00F355CD"/>
    <w:rPr>
      <w:sz w:val="20"/>
      <w:szCs w:val="20"/>
    </w:rPr>
  </w:style>
  <w:style w:type="character" w:customStyle="1" w:styleId="FotnotetekstTegn">
    <w:name w:val="Fotnotetekst Tegn"/>
    <w:basedOn w:val="Standardskriftforavsnitt"/>
    <w:link w:val="Fotnotetekst"/>
    <w:rsid w:val="00F355CD"/>
  </w:style>
  <w:style w:type="character" w:styleId="Fotnotereferanse">
    <w:name w:val="footnote reference"/>
    <w:basedOn w:val="Standardskriftforavsnitt"/>
    <w:unhideWhenUsed/>
    <w:rsid w:val="00F355CD"/>
    <w:rPr>
      <w:vertAlign w:val="superscript"/>
    </w:rPr>
  </w:style>
</w:styles>
</file>

<file path=word/webSettings.xml><?xml version="1.0" encoding="utf-8"?>
<w:webSettings xmlns:r="http://schemas.openxmlformats.org/officeDocument/2006/relationships" xmlns:w="http://schemas.openxmlformats.org/wordprocessingml/2006/main">
  <w:divs>
    <w:div w:id="183784219">
      <w:bodyDiv w:val="1"/>
      <w:marLeft w:val="0"/>
      <w:marRight w:val="0"/>
      <w:marTop w:val="0"/>
      <w:marBottom w:val="0"/>
      <w:divBdr>
        <w:top w:val="none" w:sz="0" w:space="0" w:color="auto"/>
        <w:left w:val="none" w:sz="0" w:space="0" w:color="auto"/>
        <w:bottom w:val="none" w:sz="0" w:space="0" w:color="auto"/>
        <w:right w:val="none" w:sz="0" w:space="0" w:color="auto"/>
      </w:divBdr>
    </w:div>
    <w:div w:id="229078000">
      <w:bodyDiv w:val="1"/>
      <w:marLeft w:val="0"/>
      <w:marRight w:val="0"/>
      <w:marTop w:val="0"/>
      <w:marBottom w:val="0"/>
      <w:divBdr>
        <w:top w:val="none" w:sz="0" w:space="0" w:color="auto"/>
        <w:left w:val="none" w:sz="0" w:space="0" w:color="auto"/>
        <w:bottom w:val="none" w:sz="0" w:space="0" w:color="auto"/>
        <w:right w:val="none" w:sz="0" w:space="0" w:color="auto"/>
      </w:divBdr>
    </w:div>
    <w:div w:id="309486123">
      <w:bodyDiv w:val="1"/>
      <w:marLeft w:val="0"/>
      <w:marRight w:val="0"/>
      <w:marTop w:val="0"/>
      <w:marBottom w:val="0"/>
      <w:divBdr>
        <w:top w:val="none" w:sz="0" w:space="0" w:color="auto"/>
        <w:left w:val="none" w:sz="0" w:space="0" w:color="auto"/>
        <w:bottom w:val="none" w:sz="0" w:space="0" w:color="auto"/>
        <w:right w:val="none" w:sz="0" w:space="0" w:color="auto"/>
      </w:divBdr>
    </w:div>
    <w:div w:id="474877860">
      <w:bodyDiv w:val="1"/>
      <w:marLeft w:val="0"/>
      <w:marRight w:val="0"/>
      <w:marTop w:val="0"/>
      <w:marBottom w:val="0"/>
      <w:divBdr>
        <w:top w:val="none" w:sz="0" w:space="0" w:color="auto"/>
        <w:left w:val="none" w:sz="0" w:space="0" w:color="auto"/>
        <w:bottom w:val="none" w:sz="0" w:space="0" w:color="auto"/>
        <w:right w:val="none" w:sz="0" w:space="0" w:color="auto"/>
      </w:divBdr>
    </w:div>
    <w:div w:id="527762259">
      <w:bodyDiv w:val="1"/>
      <w:marLeft w:val="0"/>
      <w:marRight w:val="0"/>
      <w:marTop w:val="0"/>
      <w:marBottom w:val="0"/>
      <w:divBdr>
        <w:top w:val="none" w:sz="0" w:space="0" w:color="auto"/>
        <w:left w:val="none" w:sz="0" w:space="0" w:color="auto"/>
        <w:bottom w:val="none" w:sz="0" w:space="0" w:color="auto"/>
        <w:right w:val="none" w:sz="0" w:space="0" w:color="auto"/>
      </w:divBdr>
    </w:div>
    <w:div w:id="556547775">
      <w:bodyDiv w:val="1"/>
      <w:marLeft w:val="0"/>
      <w:marRight w:val="0"/>
      <w:marTop w:val="0"/>
      <w:marBottom w:val="0"/>
      <w:divBdr>
        <w:top w:val="none" w:sz="0" w:space="0" w:color="auto"/>
        <w:left w:val="none" w:sz="0" w:space="0" w:color="auto"/>
        <w:bottom w:val="none" w:sz="0" w:space="0" w:color="auto"/>
        <w:right w:val="none" w:sz="0" w:space="0" w:color="auto"/>
      </w:divBdr>
    </w:div>
    <w:div w:id="691810285">
      <w:bodyDiv w:val="1"/>
      <w:marLeft w:val="0"/>
      <w:marRight w:val="0"/>
      <w:marTop w:val="0"/>
      <w:marBottom w:val="0"/>
      <w:divBdr>
        <w:top w:val="none" w:sz="0" w:space="0" w:color="auto"/>
        <w:left w:val="none" w:sz="0" w:space="0" w:color="auto"/>
        <w:bottom w:val="none" w:sz="0" w:space="0" w:color="auto"/>
        <w:right w:val="none" w:sz="0" w:space="0" w:color="auto"/>
      </w:divBdr>
    </w:div>
    <w:div w:id="704791244">
      <w:bodyDiv w:val="1"/>
      <w:marLeft w:val="0"/>
      <w:marRight w:val="0"/>
      <w:marTop w:val="0"/>
      <w:marBottom w:val="0"/>
      <w:divBdr>
        <w:top w:val="none" w:sz="0" w:space="0" w:color="auto"/>
        <w:left w:val="none" w:sz="0" w:space="0" w:color="auto"/>
        <w:bottom w:val="none" w:sz="0" w:space="0" w:color="auto"/>
        <w:right w:val="none" w:sz="0" w:space="0" w:color="auto"/>
      </w:divBdr>
    </w:div>
    <w:div w:id="733509483">
      <w:bodyDiv w:val="1"/>
      <w:marLeft w:val="0"/>
      <w:marRight w:val="0"/>
      <w:marTop w:val="0"/>
      <w:marBottom w:val="0"/>
      <w:divBdr>
        <w:top w:val="none" w:sz="0" w:space="0" w:color="auto"/>
        <w:left w:val="none" w:sz="0" w:space="0" w:color="auto"/>
        <w:bottom w:val="none" w:sz="0" w:space="0" w:color="auto"/>
        <w:right w:val="none" w:sz="0" w:space="0" w:color="auto"/>
      </w:divBdr>
    </w:div>
    <w:div w:id="1273905420">
      <w:bodyDiv w:val="1"/>
      <w:marLeft w:val="0"/>
      <w:marRight w:val="0"/>
      <w:marTop w:val="0"/>
      <w:marBottom w:val="0"/>
      <w:divBdr>
        <w:top w:val="none" w:sz="0" w:space="0" w:color="auto"/>
        <w:left w:val="none" w:sz="0" w:space="0" w:color="auto"/>
        <w:bottom w:val="none" w:sz="0" w:space="0" w:color="auto"/>
        <w:right w:val="none" w:sz="0" w:space="0" w:color="auto"/>
      </w:divBdr>
    </w:div>
    <w:div w:id="1420717919">
      <w:bodyDiv w:val="1"/>
      <w:marLeft w:val="0"/>
      <w:marRight w:val="0"/>
      <w:marTop w:val="0"/>
      <w:marBottom w:val="0"/>
      <w:divBdr>
        <w:top w:val="none" w:sz="0" w:space="0" w:color="auto"/>
        <w:left w:val="none" w:sz="0" w:space="0" w:color="auto"/>
        <w:bottom w:val="none" w:sz="0" w:space="0" w:color="auto"/>
        <w:right w:val="none" w:sz="0" w:space="0" w:color="auto"/>
      </w:divBdr>
      <w:divsChild>
        <w:div w:id="179323007">
          <w:marLeft w:val="0"/>
          <w:marRight w:val="0"/>
          <w:marTop w:val="0"/>
          <w:marBottom w:val="0"/>
          <w:divBdr>
            <w:top w:val="none" w:sz="0" w:space="0" w:color="auto"/>
            <w:left w:val="none" w:sz="0" w:space="0" w:color="auto"/>
            <w:bottom w:val="none" w:sz="0" w:space="0" w:color="auto"/>
            <w:right w:val="none" w:sz="0" w:space="0" w:color="auto"/>
          </w:divBdr>
          <w:divsChild>
            <w:div w:id="29036252">
              <w:marLeft w:val="0"/>
              <w:marRight w:val="0"/>
              <w:marTop w:val="0"/>
              <w:marBottom w:val="0"/>
              <w:divBdr>
                <w:top w:val="none" w:sz="0" w:space="0" w:color="auto"/>
                <w:left w:val="none" w:sz="0" w:space="0" w:color="auto"/>
                <w:bottom w:val="none" w:sz="0" w:space="0" w:color="auto"/>
                <w:right w:val="none" w:sz="0" w:space="0" w:color="auto"/>
              </w:divBdr>
              <w:divsChild>
                <w:div w:id="171921257">
                  <w:marLeft w:val="0"/>
                  <w:marRight w:val="0"/>
                  <w:marTop w:val="0"/>
                  <w:marBottom w:val="0"/>
                  <w:divBdr>
                    <w:top w:val="none" w:sz="0" w:space="0" w:color="auto"/>
                    <w:left w:val="none" w:sz="0" w:space="0" w:color="auto"/>
                    <w:bottom w:val="none" w:sz="0" w:space="0" w:color="auto"/>
                    <w:right w:val="none" w:sz="0" w:space="0" w:color="auto"/>
                  </w:divBdr>
                  <w:divsChild>
                    <w:div w:id="206333462">
                      <w:marLeft w:val="0"/>
                      <w:marRight w:val="0"/>
                      <w:marTop w:val="0"/>
                      <w:marBottom w:val="0"/>
                      <w:divBdr>
                        <w:top w:val="none" w:sz="0" w:space="0" w:color="auto"/>
                        <w:left w:val="none" w:sz="0" w:space="0" w:color="auto"/>
                        <w:bottom w:val="none" w:sz="0" w:space="0" w:color="auto"/>
                        <w:right w:val="none" w:sz="0" w:space="0" w:color="auto"/>
                      </w:divBdr>
                      <w:divsChild>
                        <w:div w:id="36928804">
                          <w:marLeft w:val="0"/>
                          <w:marRight w:val="0"/>
                          <w:marTop w:val="0"/>
                          <w:marBottom w:val="0"/>
                          <w:divBdr>
                            <w:top w:val="none" w:sz="0" w:space="0" w:color="auto"/>
                            <w:left w:val="none" w:sz="0" w:space="0" w:color="auto"/>
                            <w:bottom w:val="none" w:sz="0" w:space="0" w:color="auto"/>
                            <w:right w:val="none" w:sz="0" w:space="0" w:color="auto"/>
                          </w:divBdr>
                          <w:divsChild>
                            <w:div w:id="1719475309">
                              <w:marLeft w:val="0"/>
                              <w:marRight w:val="0"/>
                              <w:marTop w:val="0"/>
                              <w:marBottom w:val="0"/>
                              <w:divBdr>
                                <w:top w:val="none" w:sz="0" w:space="0" w:color="auto"/>
                                <w:left w:val="none" w:sz="0" w:space="0" w:color="auto"/>
                                <w:bottom w:val="none" w:sz="0" w:space="0" w:color="auto"/>
                                <w:right w:val="none" w:sz="0" w:space="0" w:color="auto"/>
                              </w:divBdr>
                              <w:divsChild>
                                <w:div w:id="1105149325">
                                  <w:marLeft w:val="0"/>
                                  <w:marRight w:val="0"/>
                                  <w:marTop w:val="0"/>
                                  <w:marBottom w:val="0"/>
                                  <w:divBdr>
                                    <w:top w:val="none" w:sz="0" w:space="0" w:color="auto"/>
                                    <w:left w:val="none" w:sz="0" w:space="0" w:color="auto"/>
                                    <w:bottom w:val="none" w:sz="0" w:space="0" w:color="auto"/>
                                    <w:right w:val="none" w:sz="0" w:space="0" w:color="auto"/>
                                  </w:divBdr>
                                  <w:divsChild>
                                    <w:div w:id="688919695">
                                      <w:marLeft w:val="0"/>
                                      <w:marRight w:val="0"/>
                                      <w:marTop w:val="0"/>
                                      <w:marBottom w:val="0"/>
                                      <w:divBdr>
                                        <w:top w:val="none" w:sz="0" w:space="0" w:color="auto"/>
                                        <w:left w:val="none" w:sz="0" w:space="0" w:color="auto"/>
                                        <w:bottom w:val="none" w:sz="0" w:space="0" w:color="auto"/>
                                        <w:right w:val="none" w:sz="0" w:space="0" w:color="auto"/>
                                      </w:divBdr>
                                      <w:divsChild>
                                        <w:div w:id="1916550860">
                                          <w:marLeft w:val="0"/>
                                          <w:marRight w:val="0"/>
                                          <w:marTop w:val="0"/>
                                          <w:marBottom w:val="0"/>
                                          <w:divBdr>
                                            <w:top w:val="none" w:sz="0" w:space="0" w:color="auto"/>
                                            <w:left w:val="none" w:sz="0" w:space="0" w:color="auto"/>
                                            <w:bottom w:val="none" w:sz="0" w:space="0" w:color="auto"/>
                                            <w:right w:val="none" w:sz="0" w:space="0" w:color="auto"/>
                                          </w:divBdr>
                                          <w:divsChild>
                                            <w:div w:id="1554271624">
                                              <w:marLeft w:val="0"/>
                                              <w:marRight w:val="0"/>
                                              <w:marTop w:val="120"/>
                                              <w:marBottom w:val="360"/>
                                              <w:divBdr>
                                                <w:top w:val="none" w:sz="0" w:space="0" w:color="auto"/>
                                                <w:left w:val="none" w:sz="0" w:space="0" w:color="auto"/>
                                                <w:bottom w:val="dotted" w:sz="4" w:space="18" w:color="1E88E1"/>
                                                <w:right w:val="none" w:sz="0" w:space="0" w:color="auto"/>
                                              </w:divBdr>
                                              <w:divsChild>
                                                <w:div w:id="17334558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86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s.NPNR\Desktop\NR-brev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NR-brev2.dot</Template>
  <TotalTime>112</TotalTime>
  <Pages>5</Pages>
  <Words>2016</Words>
  <Characters>10691</Characters>
  <Application>Microsoft Office Word</Application>
  <DocSecurity>0</DocSecurity>
  <Lines>89</Lines>
  <Paragraphs>25</Paragraphs>
  <ScaleCrop>false</ScaleCrop>
  <HeadingPairs>
    <vt:vector size="2" baseType="variant">
      <vt:variant>
        <vt:lpstr>Tittel</vt:lpstr>
      </vt:variant>
      <vt:variant>
        <vt:i4>1</vt:i4>
      </vt:variant>
    </vt:vector>
  </HeadingPairs>
  <TitlesOfParts>
    <vt:vector size="1" baseType="lpstr">
      <vt:lpstr/>
    </vt:vector>
  </TitlesOfParts>
  <Company>Norsk Redaktørforening</Company>
  <LinksUpToDate>false</LinksUpToDate>
  <CharactersWithSpaces>12682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arne</cp:lastModifiedBy>
  <cp:revision>5</cp:revision>
  <cp:lastPrinted>2012-09-17T08:14:00Z</cp:lastPrinted>
  <dcterms:created xsi:type="dcterms:W3CDTF">2012-09-16T16:07:00Z</dcterms:created>
  <dcterms:modified xsi:type="dcterms:W3CDTF">2012-09-25T09:04:00Z</dcterms:modified>
</cp:coreProperties>
</file>