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E68C" w14:textId="205BE4A9" w:rsidR="00FF75E9" w:rsidRDefault="00AB081E">
      <w:r>
        <w:t xml:space="preserve"> 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05FFD44" wp14:editId="3E3392C0">
            <wp:extent cx="866775" cy="866775"/>
            <wp:effectExtent l="0" t="0" r="0" b="0"/>
            <wp:docPr id="1830852397" name="Bilde 2" descr="Et bilde som inneholder logo, Grafikk, symbol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52397" name="Bilde 2" descr="Et bilde som inneholder logo, Grafikk, symbol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 w:rsidRPr="00C76ED4">
        <w:rPr>
          <w:noProof/>
        </w:rPr>
        <w:drawing>
          <wp:inline distT="0" distB="0" distL="0" distR="0" wp14:anchorId="30DDB08D" wp14:editId="35381405">
            <wp:extent cx="2341563" cy="561975"/>
            <wp:effectExtent l="0" t="0" r="1905" b="0"/>
            <wp:docPr id="2" name="Bilde 2" descr="Et bilde som inneholder rakett, ku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rakett, kul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2" cy="56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897E" w14:textId="77777777" w:rsidR="00FF75E9" w:rsidRDefault="00FF75E9"/>
    <w:p w14:paraId="5A097E87" w14:textId="77777777" w:rsidR="00FF75E9" w:rsidRDefault="00FF75E9"/>
    <w:p w14:paraId="139F4D8C" w14:textId="0DDDEAEF" w:rsidR="00FF75E9" w:rsidRPr="00FF75E9" w:rsidRDefault="00FF75E9">
      <w:pPr>
        <w:rPr>
          <w:rFonts w:ascii="Aptos" w:hAnsi="Aptos"/>
        </w:rPr>
      </w:pPr>
      <w:r w:rsidRPr="00FF75E9">
        <w:rPr>
          <w:rFonts w:ascii="Aptos" w:hAnsi="Aptos"/>
        </w:rPr>
        <w:t xml:space="preserve">Kommunal- og distriktsdepartementet </w:t>
      </w:r>
    </w:p>
    <w:p w14:paraId="00B90DD8" w14:textId="77777777" w:rsidR="00FF75E9" w:rsidRPr="00FF75E9" w:rsidRDefault="00FF75E9">
      <w:pPr>
        <w:rPr>
          <w:rFonts w:ascii="Aptos" w:hAnsi="Aptos"/>
        </w:rPr>
      </w:pPr>
    </w:p>
    <w:p w14:paraId="0D5C5EB4" w14:textId="77777777" w:rsidR="00FF75E9" w:rsidRPr="00FF75E9" w:rsidRDefault="00FF75E9">
      <w:pPr>
        <w:rPr>
          <w:rFonts w:ascii="Aptos" w:hAnsi="Aptos"/>
        </w:rPr>
      </w:pPr>
    </w:p>
    <w:p w14:paraId="2E2AD364" w14:textId="59C05A1A" w:rsidR="00FF75E9" w:rsidRPr="00FF75E9" w:rsidRDefault="00FF75E9">
      <w:pPr>
        <w:rPr>
          <w:rFonts w:ascii="Aptos" w:hAnsi="Aptos"/>
        </w:rPr>
      </w:pP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</w:r>
      <w:r w:rsidRPr="00FF75E9">
        <w:rPr>
          <w:rFonts w:ascii="Aptos" w:hAnsi="Aptos"/>
        </w:rPr>
        <w:tab/>
        <w:t>Oslo, 4.12.2023</w:t>
      </w:r>
    </w:p>
    <w:p w14:paraId="14E1C7C0" w14:textId="77777777" w:rsidR="00FF75E9" w:rsidRPr="00FF75E9" w:rsidRDefault="00FF75E9">
      <w:pPr>
        <w:rPr>
          <w:rFonts w:ascii="Aptos" w:hAnsi="Aptos"/>
        </w:rPr>
      </w:pPr>
    </w:p>
    <w:p w14:paraId="2135B720" w14:textId="697155BE" w:rsidR="00FF75E9" w:rsidRPr="0050706B" w:rsidRDefault="00FF75E9">
      <w:pPr>
        <w:rPr>
          <w:rFonts w:ascii="Aptos" w:hAnsi="Aptos" w:cstheme="minorHAnsi"/>
          <w:i/>
          <w:iCs/>
          <w:color w:val="1D2129"/>
        </w:rPr>
      </w:pPr>
      <w:r w:rsidRPr="0050706B">
        <w:rPr>
          <w:rFonts w:ascii="Aptos" w:hAnsi="Aptos" w:cstheme="minorHAnsi"/>
          <w:i/>
          <w:iCs/>
          <w:color w:val="1D2129"/>
        </w:rPr>
        <w:t xml:space="preserve">Norsk Presseforbund (NP) er paraplyorganisasjonen for frie redaktørstyrte medier, herunder redaktører, journalister og utgivere, som følger Vær Varsom-plakaten og Redaktørplakaten. </w:t>
      </w:r>
      <w:r w:rsidR="00816402" w:rsidRPr="0050706B">
        <w:rPr>
          <w:rFonts w:ascii="Aptos" w:hAnsi="Aptos" w:cstheme="minorHAnsi"/>
          <w:i/>
          <w:iCs/>
          <w:color w:val="1D2129"/>
        </w:rPr>
        <w:t xml:space="preserve">Norsk Redaktørforening (NR) er en landsomfattende sammenslutning av redaktører i alle typer medier med rundt 800 medlemmer. Begge organisasjonene </w:t>
      </w:r>
      <w:r w:rsidRPr="0050706B">
        <w:rPr>
          <w:rFonts w:ascii="Aptos" w:hAnsi="Aptos" w:cstheme="minorHAnsi"/>
          <w:i/>
          <w:iCs/>
          <w:color w:val="1D2129"/>
        </w:rPr>
        <w:t>skal ivareta og forsvare ytringsfriheten og pressefriheten, for å styrke den frie presse som en av de viktigste institusjonene i et demokratisk samfunn.</w:t>
      </w:r>
    </w:p>
    <w:p w14:paraId="068640DC" w14:textId="77777777" w:rsidR="0050706B" w:rsidRDefault="0050706B" w:rsidP="0050706B">
      <w:pPr>
        <w:rPr>
          <w:rFonts w:ascii="Aptos" w:hAnsi="Aptos"/>
          <w:b/>
          <w:bCs/>
        </w:rPr>
      </w:pPr>
    </w:p>
    <w:p w14:paraId="6AE636A1" w14:textId="26F455A4" w:rsidR="0050706B" w:rsidRPr="00D614DD" w:rsidRDefault="0050706B" w:rsidP="0050706B">
      <w:pPr>
        <w:rPr>
          <w:rFonts w:ascii="Aptos" w:hAnsi="Aptos"/>
          <w:b/>
          <w:bCs/>
        </w:rPr>
      </w:pPr>
      <w:r w:rsidRPr="00D614DD">
        <w:rPr>
          <w:rFonts w:ascii="Aptos" w:hAnsi="Aptos"/>
          <w:b/>
          <w:bCs/>
        </w:rPr>
        <w:t xml:space="preserve">Innspill til ny nasjonal digitaliseringsstrategi </w:t>
      </w:r>
    </w:p>
    <w:p w14:paraId="4084627F" w14:textId="077A61EF" w:rsidR="00FF75E9" w:rsidRPr="00FF75E9" w:rsidRDefault="0050706B">
      <w:pPr>
        <w:rPr>
          <w:rFonts w:ascii="Aptos" w:hAnsi="Aptos" w:cstheme="minorHAnsi"/>
          <w:color w:val="1D2129"/>
        </w:rPr>
      </w:pPr>
      <w:r>
        <w:rPr>
          <w:rFonts w:ascii="Aptos" w:hAnsi="Aptos" w:cstheme="minorHAnsi"/>
          <w:color w:val="1D2129"/>
        </w:rPr>
        <w:t xml:space="preserve">Vi viser til regjeringens </w:t>
      </w:r>
      <w:r w:rsidR="00EE7D88">
        <w:rPr>
          <w:rFonts w:eastAsia="Calibri" w:cs="Calibri"/>
        </w:rPr>
        <w:t>ønske om innspill og takker for muligheten til å levere til utsatt frist</w:t>
      </w:r>
      <w:r w:rsidR="00B40D66">
        <w:rPr>
          <w:rFonts w:eastAsia="Calibri" w:cs="Calibri"/>
        </w:rPr>
        <w:t xml:space="preserve">. </w:t>
      </w:r>
      <w:r w:rsidR="00FF75E9" w:rsidRPr="00FF75E9">
        <w:rPr>
          <w:rFonts w:ascii="Aptos" w:hAnsi="Aptos" w:cstheme="minorHAnsi"/>
          <w:color w:val="1D2129"/>
        </w:rPr>
        <w:t xml:space="preserve">NP deltok på </w:t>
      </w:r>
      <w:r w:rsidR="00FF75E9">
        <w:rPr>
          <w:rFonts w:ascii="Aptos" w:hAnsi="Aptos" w:cstheme="minorHAnsi"/>
          <w:color w:val="1D2129"/>
        </w:rPr>
        <w:t xml:space="preserve">et </w:t>
      </w:r>
      <w:r w:rsidR="00FF75E9" w:rsidRPr="00FF75E9">
        <w:rPr>
          <w:rFonts w:ascii="Aptos" w:hAnsi="Aptos" w:cstheme="minorHAnsi"/>
          <w:color w:val="1D2129"/>
        </w:rPr>
        <w:t>muntlig innspillsmøte om ny strategi, og meldte da inn fire hovedpunkter til strategien</w:t>
      </w:r>
      <w:r w:rsidR="00FF75E9">
        <w:rPr>
          <w:rFonts w:ascii="Aptos" w:hAnsi="Aptos" w:cstheme="minorHAnsi"/>
          <w:color w:val="1D2129"/>
        </w:rPr>
        <w:t xml:space="preserve"> på vegne av mediene</w:t>
      </w:r>
      <w:r w:rsidR="00FF75E9" w:rsidRPr="00FF75E9">
        <w:rPr>
          <w:rFonts w:ascii="Aptos" w:hAnsi="Aptos" w:cstheme="minorHAnsi"/>
          <w:color w:val="1D2129"/>
        </w:rPr>
        <w:t xml:space="preserve">. </w:t>
      </w:r>
      <w:r w:rsidR="00D80B8A">
        <w:rPr>
          <w:rFonts w:ascii="Aptos" w:hAnsi="Aptos" w:cstheme="minorHAnsi"/>
          <w:color w:val="1D2129"/>
        </w:rPr>
        <w:t xml:space="preserve">I dette skriftlige innspillet utdyper vi </w:t>
      </w:r>
      <w:r w:rsidR="007771B7">
        <w:rPr>
          <w:rFonts w:ascii="Aptos" w:hAnsi="Aptos" w:cstheme="minorHAnsi"/>
          <w:color w:val="1D2129"/>
        </w:rPr>
        <w:t xml:space="preserve">disse. </w:t>
      </w:r>
      <w:r w:rsidR="00816402">
        <w:rPr>
          <w:rFonts w:ascii="Aptos" w:hAnsi="Aptos" w:cstheme="minorHAnsi"/>
          <w:color w:val="1D2129"/>
        </w:rPr>
        <w:t xml:space="preserve">Vi viser </w:t>
      </w:r>
      <w:r w:rsidR="00433100">
        <w:rPr>
          <w:rFonts w:ascii="Aptos" w:hAnsi="Aptos" w:cstheme="minorHAnsi"/>
          <w:color w:val="1D2129"/>
        </w:rPr>
        <w:t>ellers</w:t>
      </w:r>
      <w:r w:rsidR="00816402">
        <w:rPr>
          <w:rFonts w:ascii="Aptos" w:hAnsi="Aptos" w:cstheme="minorHAnsi"/>
          <w:color w:val="1D2129"/>
        </w:rPr>
        <w:t xml:space="preserve"> til innspill fra NJ og MBL</w:t>
      </w:r>
      <w:r w:rsidR="003E0F4D">
        <w:rPr>
          <w:rFonts w:ascii="Aptos" w:hAnsi="Aptos" w:cstheme="minorHAnsi"/>
          <w:color w:val="1D2129"/>
        </w:rPr>
        <w:t xml:space="preserve">, og stiller oss også bak </w:t>
      </w:r>
      <w:r w:rsidR="00EF32C8">
        <w:rPr>
          <w:rFonts w:ascii="Aptos" w:hAnsi="Aptos" w:cstheme="minorHAnsi"/>
          <w:color w:val="1D2129"/>
        </w:rPr>
        <w:t>dem</w:t>
      </w:r>
      <w:r w:rsidR="003E0F4D">
        <w:rPr>
          <w:rFonts w:ascii="Aptos" w:hAnsi="Aptos" w:cstheme="minorHAnsi"/>
          <w:color w:val="1D2129"/>
        </w:rPr>
        <w:t>.</w:t>
      </w:r>
      <w:r w:rsidR="005D1AFF">
        <w:rPr>
          <w:rFonts w:ascii="Aptos" w:hAnsi="Aptos" w:cstheme="minorHAnsi"/>
          <w:color w:val="1D2129"/>
        </w:rPr>
        <w:t xml:space="preserve"> </w:t>
      </w:r>
      <w:r w:rsidR="008E0E90">
        <w:rPr>
          <w:rFonts w:ascii="Aptos" w:hAnsi="Aptos" w:cstheme="minorHAnsi"/>
          <w:color w:val="1D2129"/>
        </w:rPr>
        <w:t xml:space="preserve">Vi vil også legge til at dette er et omfattende arbeid </w:t>
      </w:r>
      <w:r w:rsidR="00C91F94">
        <w:rPr>
          <w:rFonts w:ascii="Aptos" w:hAnsi="Aptos" w:cstheme="minorHAnsi"/>
          <w:color w:val="1D2129"/>
        </w:rPr>
        <w:t>som høyst sannsynlig</w:t>
      </w:r>
      <w:r w:rsidR="00B550BF">
        <w:rPr>
          <w:rFonts w:ascii="Aptos" w:hAnsi="Aptos" w:cstheme="minorHAnsi"/>
          <w:color w:val="1D2129"/>
        </w:rPr>
        <w:t xml:space="preserve"> vil omfatte flere område</w:t>
      </w:r>
      <w:r w:rsidR="007E2923">
        <w:rPr>
          <w:rFonts w:ascii="Aptos" w:hAnsi="Aptos" w:cstheme="minorHAnsi"/>
          <w:color w:val="1D2129"/>
        </w:rPr>
        <w:t>r</w:t>
      </w:r>
      <w:r w:rsidR="00B550BF">
        <w:rPr>
          <w:rFonts w:ascii="Aptos" w:hAnsi="Aptos" w:cstheme="minorHAnsi"/>
          <w:color w:val="1D2129"/>
        </w:rPr>
        <w:t xml:space="preserve"> enn de</w:t>
      </w:r>
      <w:r w:rsidR="00435CF3">
        <w:rPr>
          <w:rFonts w:ascii="Aptos" w:hAnsi="Aptos" w:cstheme="minorHAnsi"/>
          <w:color w:val="1D2129"/>
        </w:rPr>
        <w:t>m</w:t>
      </w:r>
      <w:r w:rsidR="00B550BF">
        <w:rPr>
          <w:rFonts w:ascii="Aptos" w:hAnsi="Aptos" w:cstheme="minorHAnsi"/>
          <w:color w:val="1D2129"/>
        </w:rPr>
        <w:t xml:space="preserve"> vi har berørt, også fordi det vil dukke opp </w:t>
      </w:r>
      <w:r w:rsidR="00E81A09">
        <w:rPr>
          <w:rFonts w:ascii="Aptos" w:hAnsi="Aptos" w:cstheme="minorHAnsi"/>
          <w:color w:val="1D2129"/>
        </w:rPr>
        <w:t xml:space="preserve">nye problemstillinger fremover. Vi vil derfor understreke behovet for en løpende og </w:t>
      </w:r>
      <w:r w:rsidR="005C15B5">
        <w:rPr>
          <w:rFonts w:ascii="Aptos" w:hAnsi="Aptos" w:cstheme="minorHAnsi"/>
          <w:color w:val="1D2129"/>
        </w:rPr>
        <w:t>åpen</w:t>
      </w:r>
      <w:r w:rsidR="00E81A09">
        <w:rPr>
          <w:rFonts w:ascii="Aptos" w:hAnsi="Aptos" w:cstheme="minorHAnsi"/>
          <w:color w:val="1D2129"/>
        </w:rPr>
        <w:t xml:space="preserve"> debatt </w:t>
      </w:r>
      <w:r w:rsidR="0034310D">
        <w:rPr>
          <w:rFonts w:ascii="Aptos" w:hAnsi="Aptos" w:cstheme="minorHAnsi"/>
          <w:color w:val="1D2129"/>
        </w:rPr>
        <w:t>på dette området</w:t>
      </w:r>
      <w:r w:rsidR="007E2923">
        <w:rPr>
          <w:rFonts w:ascii="Aptos" w:hAnsi="Aptos" w:cstheme="minorHAnsi"/>
          <w:color w:val="1D2129"/>
        </w:rPr>
        <w:t xml:space="preserve">. </w:t>
      </w:r>
      <w:r w:rsidR="0034310D">
        <w:rPr>
          <w:rFonts w:ascii="Aptos" w:hAnsi="Aptos" w:cstheme="minorHAnsi"/>
          <w:color w:val="1D2129"/>
        </w:rPr>
        <w:t xml:space="preserve"> Vi </w:t>
      </w:r>
      <w:r w:rsidR="00BA56B6">
        <w:rPr>
          <w:rFonts w:ascii="Aptos" w:hAnsi="Aptos" w:cstheme="minorHAnsi"/>
          <w:color w:val="1D2129"/>
        </w:rPr>
        <w:t>stiller gjerne i møter med regjeringen der vi kan utdype våre synspunkter</w:t>
      </w:r>
      <w:r w:rsidR="007E2923">
        <w:rPr>
          <w:rFonts w:ascii="Aptos" w:hAnsi="Aptos" w:cstheme="minorHAnsi"/>
          <w:color w:val="1D2129"/>
        </w:rPr>
        <w:t xml:space="preserve">. </w:t>
      </w:r>
    </w:p>
    <w:p w14:paraId="2EE72A6F" w14:textId="77777777" w:rsidR="00FF75E9" w:rsidRDefault="00FF75E9" w:rsidP="00FF75E9">
      <w:pPr>
        <w:rPr>
          <w:rStyle w:val="contentpasted0"/>
          <w:rFonts w:ascii="Aptos" w:hAnsi="Aptos"/>
          <w:b/>
          <w:bCs/>
          <w:color w:val="000000"/>
        </w:rPr>
      </w:pPr>
    </w:p>
    <w:p w14:paraId="54F8F30D" w14:textId="77777777" w:rsidR="006043D5" w:rsidRPr="006043D5" w:rsidRDefault="00FF75E9" w:rsidP="00FF75E9">
      <w:pPr>
        <w:pStyle w:val="Listeavsnitt"/>
        <w:numPr>
          <w:ilvl w:val="0"/>
          <w:numId w:val="2"/>
        </w:numPr>
        <w:rPr>
          <w:rStyle w:val="contentpasted0"/>
          <w:rFonts w:ascii="Aptos" w:hAnsi="Aptos"/>
          <w:color w:val="000000"/>
        </w:rPr>
      </w:pPr>
      <w:r w:rsidRPr="00DF57D4">
        <w:rPr>
          <w:rStyle w:val="contentpasted0"/>
          <w:rFonts w:ascii="Aptos" w:hAnsi="Aptos"/>
          <w:b/>
          <w:color w:val="000000" w:themeColor="text1"/>
        </w:rPr>
        <w:t>Strategien må sikre rimelig balanse mellom personvern og ytringsfrihet</w:t>
      </w:r>
      <w:r w:rsidRPr="00DF57D4">
        <w:rPr>
          <w:rStyle w:val="contentpasted0"/>
          <w:rFonts w:ascii="Aptos" w:hAnsi="Aptos"/>
          <w:color w:val="000000" w:themeColor="text1"/>
        </w:rPr>
        <w:t xml:space="preserve">. </w:t>
      </w:r>
      <w:r w:rsidRPr="00DF57D4">
        <w:rPr>
          <w:rStyle w:val="contentpasted0"/>
          <w:rFonts w:ascii="Aptos" w:hAnsi="Aptos"/>
          <w:color w:val="000000" w:themeColor="text1"/>
        </w:rPr>
        <w:br/>
      </w:r>
    </w:p>
    <w:p w14:paraId="74C8D6EB" w14:textId="70FB5564" w:rsidR="003701C1" w:rsidRDefault="004F02C3" w:rsidP="004F02C3">
      <w:pPr>
        <w:rPr>
          <w:rStyle w:val="contentpasted0"/>
          <w:rFonts w:ascii="Aptos" w:hAnsi="Aptos"/>
          <w:color w:val="000000" w:themeColor="text1"/>
        </w:rPr>
      </w:pPr>
      <w:r w:rsidRPr="006043D5">
        <w:rPr>
          <w:rStyle w:val="contentpasted0"/>
          <w:rFonts w:ascii="Aptos" w:hAnsi="Aptos"/>
          <w:color w:val="000000" w:themeColor="text1"/>
        </w:rPr>
        <w:t xml:space="preserve">Personvern og ytringsfrihet er to likestilte rettigheter som </w:t>
      </w:r>
      <w:r>
        <w:rPr>
          <w:rStyle w:val="contentpasted0"/>
          <w:rFonts w:ascii="Aptos" w:hAnsi="Aptos"/>
          <w:color w:val="000000" w:themeColor="text1"/>
        </w:rPr>
        <w:t xml:space="preserve">begge er beskyttet i Grunnloven og </w:t>
      </w:r>
      <w:r w:rsidR="003701C1">
        <w:rPr>
          <w:rStyle w:val="contentpasted0"/>
          <w:rFonts w:ascii="Aptos" w:hAnsi="Aptos"/>
          <w:color w:val="000000" w:themeColor="text1"/>
        </w:rPr>
        <w:t xml:space="preserve">Den europeiske </w:t>
      </w:r>
      <w:r>
        <w:rPr>
          <w:rStyle w:val="contentpasted0"/>
          <w:rFonts w:ascii="Aptos" w:hAnsi="Aptos"/>
          <w:color w:val="000000" w:themeColor="text1"/>
        </w:rPr>
        <w:t>menneskerettskonvensjonen</w:t>
      </w:r>
      <w:r w:rsidR="003701C1">
        <w:rPr>
          <w:rStyle w:val="contentpasted0"/>
          <w:rFonts w:ascii="Aptos" w:hAnsi="Aptos"/>
          <w:color w:val="000000" w:themeColor="text1"/>
        </w:rPr>
        <w:t xml:space="preserve">. Ved kollisjon skal disse </w:t>
      </w:r>
      <w:r w:rsidRPr="006043D5">
        <w:rPr>
          <w:rStyle w:val="contentpasted0"/>
          <w:rFonts w:ascii="Aptos" w:hAnsi="Aptos"/>
          <w:color w:val="000000" w:themeColor="text1"/>
        </w:rPr>
        <w:t xml:space="preserve">vurderes og balanseres opp mot hverandre. </w:t>
      </w:r>
      <w:r w:rsidR="003701C1">
        <w:rPr>
          <w:rStyle w:val="contentpasted0"/>
          <w:rFonts w:ascii="Aptos" w:hAnsi="Aptos"/>
          <w:color w:val="000000" w:themeColor="text1"/>
        </w:rPr>
        <w:t xml:space="preserve">Digitaliseringsstrategiene må tilrettelegge for </w:t>
      </w:r>
      <w:r w:rsidR="00277A0E">
        <w:rPr>
          <w:rStyle w:val="contentpasted0"/>
          <w:rFonts w:ascii="Aptos" w:hAnsi="Aptos"/>
          <w:color w:val="000000" w:themeColor="text1"/>
        </w:rPr>
        <w:t xml:space="preserve">at Norge ivaretar </w:t>
      </w:r>
      <w:r w:rsidR="003701C1">
        <w:rPr>
          <w:rStyle w:val="contentpasted0"/>
          <w:rFonts w:ascii="Aptos" w:hAnsi="Aptos"/>
          <w:color w:val="000000" w:themeColor="text1"/>
        </w:rPr>
        <w:t>begge disse rettigheten</w:t>
      </w:r>
      <w:r w:rsidR="00277A0E">
        <w:rPr>
          <w:rStyle w:val="contentpasted0"/>
          <w:rFonts w:ascii="Aptos" w:hAnsi="Aptos"/>
          <w:color w:val="000000" w:themeColor="text1"/>
        </w:rPr>
        <w:t>e</w:t>
      </w:r>
      <w:r w:rsidR="003701C1">
        <w:rPr>
          <w:rStyle w:val="contentpasted0"/>
          <w:rFonts w:ascii="Aptos" w:hAnsi="Aptos"/>
          <w:color w:val="000000" w:themeColor="text1"/>
        </w:rPr>
        <w:t xml:space="preserve">. Vi er bekymret for en utvikling der personvernet griper uforholdsmessig inn i ytringsfriheten. </w:t>
      </w:r>
    </w:p>
    <w:p w14:paraId="43D5D404" w14:textId="4AAB1A36" w:rsidR="00D841A1" w:rsidRDefault="004F02C3" w:rsidP="009836C1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I løpet av de siste 20 årene er det stadfestet gjennom rettspraksis både fra Høyesterett og EMD at ytringsfriheten også beskytter retten til å motta opplysninger. </w:t>
      </w:r>
      <w:r>
        <w:rPr>
          <w:rStyle w:val="Fotnotereferanse"/>
          <w:rFonts w:ascii="Aptos" w:hAnsi="Aptos"/>
          <w:color w:val="000000" w:themeColor="text1"/>
        </w:rPr>
        <w:footnoteReference w:id="1"/>
      </w:r>
      <w:r>
        <w:rPr>
          <w:rStyle w:val="contentpasted0"/>
          <w:rFonts w:ascii="Aptos" w:hAnsi="Aptos"/>
          <w:color w:val="000000" w:themeColor="text1"/>
        </w:rPr>
        <w:t xml:space="preserve"> Personvernforordningen </w:t>
      </w:r>
      <w:r>
        <w:rPr>
          <w:rStyle w:val="contentpasted0"/>
          <w:rFonts w:ascii="Aptos" w:hAnsi="Aptos"/>
          <w:color w:val="000000" w:themeColor="text1"/>
        </w:rPr>
        <w:lastRenderedPageBreak/>
        <w:t>pålegger også medlemsstatene</w:t>
      </w:r>
      <w:r w:rsidR="000B4B02">
        <w:rPr>
          <w:rStyle w:val="contentpasted0"/>
          <w:rFonts w:ascii="Aptos" w:hAnsi="Aptos"/>
          <w:color w:val="000000" w:themeColor="text1"/>
        </w:rPr>
        <w:t xml:space="preserve"> å</w:t>
      </w:r>
      <w:r>
        <w:rPr>
          <w:rStyle w:val="contentpasted0"/>
          <w:rFonts w:ascii="Aptos" w:hAnsi="Aptos"/>
          <w:color w:val="000000" w:themeColor="text1"/>
        </w:rPr>
        <w:t xml:space="preserve"> sikre at beskyttelsen av personopplysninger står i forhold til </w:t>
      </w:r>
      <w:r w:rsidRPr="004F02C3">
        <w:rPr>
          <w:rStyle w:val="contentpasted0"/>
          <w:rFonts w:ascii="Aptos" w:hAnsi="Aptos"/>
          <w:color w:val="000000" w:themeColor="text1"/>
        </w:rPr>
        <w:t xml:space="preserve">retten til ytrings- og informasjonsfrihet, </w:t>
      </w:r>
      <w:r w:rsidR="000B4B02">
        <w:rPr>
          <w:rStyle w:val="contentpasted0"/>
          <w:rFonts w:ascii="Aptos" w:hAnsi="Aptos"/>
          <w:color w:val="000000" w:themeColor="text1"/>
        </w:rPr>
        <w:t>«</w:t>
      </w:r>
      <w:r w:rsidRPr="004F02C3">
        <w:rPr>
          <w:rStyle w:val="contentpasted0"/>
          <w:rFonts w:ascii="Aptos" w:hAnsi="Aptos"/>
          <w:color w:val="000000" w:themeColor="text1"/>
        </w:rPr>
        <w:t>herunder behandling som finner sted i journalistisk øyemed eller med henblikk på akademiske, kunstneriske eller litterære ytringer</w:t>
      </w:r>
      <w:r w:rsidR="000B4B02">
        <w:rPr>
          <w:rStyle w:val="contentpasted0"/>
          <w:rFonts w:ascii="Aptos" w:hAnsi="Aptos"/>
          <w:color w:val="000000" w:themeColor="text1"/>
        </w:rPr>
        <w:t>»</w:t>
      </w:r>
      <w:r w:rsidR="004D1D89">
        <w:rPr>
          <w:rStyle w:val="contentpasted0"/>
          <w:rFonts w:ascii="Aptos" w:hAnsi="Aptos"/>
          <w:color w:val="000000" w:themeColor="text1"/>
        </w:rPr>
        <w:t xml:space="preserve"> </w:t>
      </w:r>
      <w:r w:rsidR="000B4B02">
        <w:rPr>
          <w:rStyle w:val="contentpasted0"/>
          <w:rFonts w:ascii="Aptos" w:hAnsi="Aptos"/>
          <w:color w:val="000000" w:themeColor="text1"/>
        </w:rPr>
        <w:t xml:space="preserve"> og den </w:t>
      </w:r>
      <w:r w:rsidR="004D1D89">
        <w:rPr>
          <w:rStyle w:val="contentpasted0"/>
          <w:rFonts w:ascii="Aptos" w:hAnsi="Aptos"/>
          <w:color w:val="000000" w:themeColor="text1"/>
        </w:rPr>
        <w:t>fastslår</w:t>
      </w:r>
      <w:r w:rsidR="000B4B02">
        <w:rPr>
          <w:rStyle w:val="contentpasted0"/>
          <w:rFonts w:ascii="Aptos" w:hAnsi="Aptos"/>
          <w:color w:val="000000" w:themeColor="text1"/>
        </w:rPr>
        <w:t xml:space="preserve"> at </w:t>
      </w:r>
      <w:r w:rsidR="00371C85">
        <w:rPr>
          <w:rStyle w:val="contentpasted0"/>
          <w:rFonts w:ascii="Aptos" w:hAnsi="Aptos"/>
          <w:color w:val="000000" w:themeColor="text1"/>
        </w:rPr>
        <w:t>forordningen ikke innskrenker retten til innsyn i offentlig myndigheters dokumenter</w:t>
      </w:r>
      <w:r w:rsidR="000B4B02">
        <w:rPr>
          <w:rStyle w:val="contentpasted0"/>
          <w:rFonts w:ascii="Aptos" w:hAnsi="Aptos"/>
          <w:color w:val="000000" w:themeColor="text1"/>
        </w:rPr>
        <w:t>.»</w:t>
      </w:r>
      <w:r w:rsidR="00371C85">
        <w:rPr>
          <w:rStyle w:val="contentpasted0"/>
          <w:rFonts w:ascii="Aptos" w:hAnsi="Aptos"/>
          <w:color w:val="000000" w:themeColor="text1"/>
        </w:rPr>
        <w:t xml:space="preserve"> </w:t>
      </w:r>
      <w:r>
        <w:rPr>
          <w:rStyle w:val="Fotnotereferanse"/>
          <w:rFonts w:ascii="Aptos" w:hAnsi="Aptos"/>
          <w:color w:val="000000" w:themeColor="text1"/>
        </w:rPr>
        <w:footnoteReference w:id="2"/>
      </w:r>
      <w:r>
        <w:rPr>
          <w:rStyle w:val="contentpasted0"/>
          <w:rFonts w:ascii="Aptos" w:hAnsi="Aptos"/>
          <w:color w:val="000000" w:themeColor="text1"/>
        </w:rPr>
        <w:t xml:space="preserve"> </w:t>
      </w:r>
    </w:p>
    <w:p w14:paraId="138FA430" w14:textId="2F42E4D3" w:rsidR="009836C1" w:rsidRDefault="00371C85" w:rsidP="009836C1">
      <w:pPr>
        <w:rPr>
          <w:rStyle w:val="contentpasted0"/>
          <w:rFonts w:ascii="Aptos" w:hAnsi="Aptos"/>
          <w:color w:val="000000" w:themeColor="text1"/>
        </w:rPr>
      </w:pPr>
      <w:r>
        <w:t xml:space="preserve">Unntaket for journalistiske formål og bestemmelsen om dokumentinnsyn </w:t>
      </w:r>
      <w:r w:rsidR="009D7029">
        <w:t xml:space="preserve">skal altså </w:t>
      </w:r>
      <w:r>
        <w:t xml:space="preserve">sikre at personvernet ikke griper for langt inn i retten til informasjonsfriheten. </w:t>
      </w:r>
      <w:r w:rsidR="00EB4C5D">
        <w:t xml:space="preserve">Vår erfaring er likevel at </w:t>
      </w:r>
      <w:r w:rsidR="000976AD">
        <w:t xml:space="preserve">dette ikke alltid følges i praksis. </w:t>
      </w:r>
      <w:r>
        <w:t>Journalister nektes tilgang til informasjon med GDPR eller personvern som eneste begrunnelse</w:t>
      </w:r>
      <w:r w:rsidR="00D841A1">
        <w:t xml:space="preserve">. </w:t>
      </w:r>
      <w:r w:rsidR="000976AD">
        <w:t xml:space="preserve">Dette påvirker medienes mulighet til å ivareta rollen som «public watchdog» og det påvirker samfunnets informasjonstilgang. </w:t>
      </w:r>
    </w:p>
    <w:p w14:paraId="7B7ED57A" w14:textId="51AB7862" w:rsidR="004F02C3" w:rsidRDefault="00277A0E" w:rsidP="00606361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I skriftlige innspill til strategien har </w:t>
      </w:r>
      <w:r w:rsidR="00D614DD">
        <w:rPr>
          <w:rStyle w:val="contentpasted0"/>
          <w:rFonts w:ascii="Aptos" w:hAnsi="Aptos"/>
          <w:color w:val="000000" w:themeColor="text1"/>
        </w:rPr>
        <w:t xml:space="preserve">Datatilsynet </w:t>
      </w:r>
      <w:r w:rsidR="00FF75E9" w:rsidRPr="006043D5">
        <w:rPr>
          <w:rStyle w:val="contentpasted0"/>
          <w:rFonts w:ascii="Aptos" w:hAnsi="Aptos"/>
          <w:color w:val="000000" w:themeColor="text1"/>
        </w:rPr>
        <w:t xml:space="preserve">spilt inn at personvern må være en del av grunnmuren for </w:t>
      </w:r>
      <w:r w:rsidR="00D614DD">
        <w:rPr>
          <w:rStyle w:val="contentpasted0"/>
          <w:rFonts w:ascii="Aptos" w:hAnsi="Aptos"/>
          <w:color w:val="000000" w:themeColor="text1"/>
        </w:rPr>
        <w:t xml:space="preserve">ny strategi, mens KS foreslår </w:t>
      </w:r>
      <w:r w:rsidR="00606361">
        <w:rPr>
          <w:rStyle w:val="contentpasted0"/>
          <w:rFonts w:ascii="Aptos" w:hAnsi="Aptos"/>
          <w:color w:val="000000" w:themeColor="text1"/>
        </w:rPr>
        <w:t xml:space="preserve">som et mulig tiltak </w:t>
      </w:r>
      <w:r w:rsidR="00D614DD">
        <w:rPr>
          <w:rStyle w:val="contentpasted0"/>
          <w:rFonts w:ascii="Aptos" w:hAnsi="Aptos"/>
          <w:color w:val="000000" w:themeColor="text1"/>
        </w:rPr>
        <w:t xml:space="preserve">å etablere </w:t>
      </w:r>
      <w:r w:rsidR="00606361" w:rsidRPr="00606361">
        <w:rPr>
          <w:rStyle w:val="contentpasted0"/>
          <w:rFonts w:ascii="Aptos" w:hAnsi="Aptos"/>
          <w:color w:val="000000" w:themeColor="text1"/>
        </w:rPr>
        <w:t>kommunesektorens kompetansemiljø/senter for personvern.</w:t>
      </w:r>
      <w:r w:rsidR="00606361">
        <w:rPr>
          <w:rStyle w:val="contentpasted0"/>
          <w:rFonts w:ascii="Aptos" w:hAnsi="Aptos"/>
          <w:color w:val="000000" w:themeColor="text1"/>
        </w:rPr>
        <w:t xml:space="preserve"> </w:t>
      </w:r>
    </w:p>
    <w:p w14:paraId="6E1B5F52" w14:textId="023EDB6D" w:rsidR="007500B3" w:rsidRDefault="00277A0E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>Vi</w:t>
      </w:r>
      <w:r w:rsidR="003701C1">
        <w:rPr>
          <w:rStyle w:val="contentpasted0"/>
          <w:rFonts w:ascii="Aptos" w:hAnsi="Aptos"/>
          <w:color w:val="000000" w:themeColor="text1"/>
        </w:rPr>
        <w:t xml:space="preserve"> støtter behovet for å innarbeide strukturer som beskytter grunnleggende </w:t>
      </w:r>
      <w:r>
        <w:rPr>
          <w:rStyle w:val="contentpasted0"/>
          <w:rFonts w:ascii="Aptos" w:hAnsi="Aptos"/>
          <w:color w:val="000000" w:themeColor="text1"/>
        </w:rPr>
        <w:t>menneskerettigheter,</w:t>
      </w:r>
      <w:r w:rsidR="003701C1">
        <w:rPr>
          <w:rStyle w:val="contentpasted0"/>
          <w:rFonts w:ascii="Aptos" w:hAnsi="Aptos"/>
          <w:color w:val="000000" w:themeColor="text1"/>
        </w:rPr>
        <w:t xml:space="preserve"> men vil advare mot tiltak som kan føre til en ubalans</w:t>
      </w:r>
      <w:r>
        <w:rPr>
          <w:rStyle w:val="contentpasted0"/>
          <w:rFonts w:ascii="Aptos" w:hAnsi="Aptos"/>
          <w:color w:val="000000" w:themeColor="text1"/>
        </w:rPr>
        <w:t>e ved å kun vektlegge personvern</w:t>
      </w:r>
      <w:r w:rsidR="003701C1">
        <w:rPr>
          <w:rStyle w:val="contentpasted0"/>
          <w:rFonts w:ascii="Aptos" w:hAnsi="Aptos"/>
          <w:color w:val="000000" w:themeColor="text1"/>
        </w:rPr>
        <w:t xml:space="preserve">. </w:t>
      </w:r>
      <w:r w:rsidR="00AD35D2">
        <w:rPr>
          <w:rStyle w:val="contentpasted0"/>
          <w:rFonts w:ascii="Aptos" w:hAnsi="Aptos"/>
          <w:color w:val="000000" w:themeColor="text1"/>
        </w:rPr>
        <w:t xml:space="preserve">Det er avgjørende viktig at </w:t>
      </w:r>
      <w:r w:rsidR="004F02C3">
        <w:rPr>
          <w:rStyle w:val="contentpasted0"/>
          <w:rFonts w:ascii="Aptos" w:hAnsi="Aptos"/>
          <w:color w:val="000000" w:themeColor="text1"/>
        </w:rPr>
        <w:t xml:space="preserve">tiltak for å beskytte personvernet settes sammen med tiltak for å beskytte ytringsfriheten. </w:t>
      </w:r>
      <w:r>
        <w:rPr>
          <w:rStyle w:val="contentpasted0"/>
          <w:rFonts w:ascii="Aptos" w:hAnsi="Aptos"/>
          <w:color w:val="000000" w:themeColor="text1"/>
        </w:rPr>
        <w:t>Vi foreslår at dette innarbeides som et grunnprinsipp i strategie</w:t>
      </w:r>
      <w:r w:rsidR="000B4B02">
        <w:rPr>
          <w:rStyle w:val="contentpasted0"/>
          <w:rFonts w:ascii="Aptos" w:hAnsi="Aptos"/>
          <w:color w:val="000000" w:themeColor="text1"/>
        </w:rPr>
        <w:t xml:space="preserve">n. </w:t>
      </w:r>
    </w:p>
    <w:p w14:paraId="39901CBB" w14:textId="241FA2A5" w:rsidR="004B70E8" w:rsidRPr="0049042F" w:rsidRDefault="00B7469B" w:rsidP="006043D5">
      <w:pPr>
        <w:rPr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Både </w:t>
      </w:r>
      <w:r w:rsidR="00725E78">
        <w:rPr>
          <w:rStyle w:val="contentpasted0"/>
          <w:rFonts w:ascii="Aptos" w:hAnsi="Aptos"/>
          <w:color w:val="000000" w:themeColor="text1"/>
        </w:rPr>
        <w:t xml:space="preserve">Ytringsfrihetskommisjonen og </w:t>
      </w:r>
      <w:r w:rsidR="004130CB">
        <w:rPr>
          <w:rStyle w:val="contentpasted0"/>
          <w:rFonts w:ascii="Aptos" w:hAnsi="Aptos"/>
          <w:color w:val="000000" w:themeColor="text1"/>
        </w:rPr>
        <w:t>Personvernkommisjonen</w:t>
      </w:r>
      <w:r>
        <w:rPr>
          <w:rStyle w:val="contentpasted0"/>
          <w:rFonts w:ascii="Aptos" w:hAnsi="Aptos"/>
          <w:color w:val="000000" w:themeColor="text1"/>
        </w:rPr>
        <w:t xml:space="preserve"> </w:t>
      </w:r>
      <w:r w:rsidR="004130CB">
        <w:rPr>
          <w:rStyle w:val="contentpasted0"/>
          <w:rFonts w:ascii="Aptos" w:hAnsi="Aptos"/>
          <w:color w:val="000000" w:themeColor="text1"/>
        </w:rPr>
        <w:t>(2022) foreslo</w:t>
      </w:r>
      <w:r w:rsidR="00E43406">
        <w:rPr>
          <w:rStyle w:val="contentpasted0"/>
          <w:rFonts w:ascii="Aptos" w:hAnsi="Aptos"/>
          <w:color w:val="000000" w:themeColor="text1"/>
        </w:rPr>
        <w:t xml:space="preserve"> mekanismer for å </w:t>
      </w:r>
      <w:r w:rsidR="001D564C">
        <w:rPr>
          <w:rStyle w:val="contentpasted0"/>
          <w:rFonts w:ascii="Aptos" w:hAnsi="Aptos"/>
          <w:color w:val="000000" w:themeColor="text1"/>
        </w:rPr>
        <w:t>sikre at nye tiltak ble sett i sammenheng med allerede eksisterende tilta</w:t>
      </w:r>
      <w:r w:rsidR="00D53583">
        <w:rPr>
          <w:rStyle w:val="contentpasted0"/>
          <w:rFonts w:ascii="Aptos" w:hAnsi="Aptos"/>
          <w:color w:val="000000" w:themeColor="text1"/>
        </w:rPr>
        <w:t xml:space="preserve">k </w:t>
      </w:r>
      <w:r w:rsidR="001D564C">
        <w:rPr>
          <w:rStyle w:val="contentpasted0"/>
          <w:rFonts w:ascii="Aptos" w:hAnsi="Aptos"/>
          <w:color w:val="000000" w:themeColor="text1"/>
        </w:rPr>
        <w:t xml:space="preserve">når en skulle vurdere </w:t>
      </w:r>
      <w:r w:rsidR="00715792">
        <w:rPr>
          <w:rStyle w:val="contentpasted0"/>
          <w:rFonts w:ascii="Aptos" w:hAnsi="Aptos"/>
          <w:color w:val="000000" w:themeColor="text1"/>
        </w:rPr>
        <w:t xml:space="preserve">konsekvenser for </w:t>
      </w:r>
      <w:r>
        <w:rPr>
          <w:rStyle w:val="contentpasted0"/>
          <w:rFonts w:ascii="Aptos" w:hAnsi="Aptos"/>
          <w:color w:val="000000" w:themeColor="text1"/>
        </w:rPr>
        <w:t xml:space="preserve">ytringsfrihet og </w:t>
      </w:r>
      <w:r w:rsidR="00715792">
        <w:rPr>
          <w:rStyle w:val="contentpasted0"/>
          <w:rFonts w:ascii="Aptos" w:hAnsi="Aptos"/>
          <w:color w:val="000000" w:themeColor="text1"/>
        </w:rPr>
        <w:t>personvernet.</w:t>
      </w:r>
      <w:r w:rsidR="006543C4">
        <w:rPr>
          <w:rStyle w:val="Fotnotereferanse"/>
          <w:rFonts w:ascii="Aptos" w:hAnsi="Aptos"/>
          <w:color w:val="000000" w:themeColor="text1"/>
        </w:rPr>
        <w:footnoteReference w:id="3"/>
      </w:r>
      <w:r w:rsidR="00715792">
        <w:rPr>
          <w:rStyle w:val="contentpasted0"/>
          <w:rFonts w:ascii="Aptos" w:hAnsi="Aptos"/>
          <w:color w:val="000000" w:themeColor="text1"/>
        </w:rPr>
        <w:t xml:space="preserve"> </w:t>
      </w:r>
      <w:r w:rsidR="00EB6905">
        <w:rPr>
          <w:rStyle w:val="contentpasted0"/>
          <w:rFonts w:ascii="Aptos" w:hAnsi="Aptos"/>
          <w:color w:val="000000" w:themeColor="text1"/>
        </w:rPr>
        <w:t>Mekanismer som ser på</w:t>
      </w:r>
      <w:r w:rsidR="008C29B5">
        <w:rPr>
          <w:rStyle w:val="contentpasted0"/>
          <w:rFonts w:ascii="Aptos" w:hAnsi="Aptos"/>
          <w:color w:val="000000" w:themeColor="text1"/>
        </w:rPr>
        <w:t xml:space="preserve"> samlet effekt </w:t>
      </w:r>
      <w:r w:rsidR="0081172F">
        <w:rPr>
          <w:rStyle w:val="contentpasted0"/>
          <w:rFonts w:ascii="Aptos" w:hAnsi="Aptos"/>
          <w:color w:val="000000" w:themeColor="text1"/>
        </w:rPr>
        <w:t xml:space="preserve">av nye og eksisterende tiltak </w:t>
      </w:r>
      <w:r w:rsidR="001B1B82">
        <w:rPr>
          <w:rStyle w:val="contentpasted0"/>
          <w:rFonts w:ascii="Aptos" w:hAnsi="Aptos"/>
          <w:color w:val="000000" w:themeColor="text1"/>
        </w:rPr>
        <w:t>bør også være en del av e</w:t>
      </w:r>
      <w:r w:rsidR="0049042F">
        <w:rPr>
          <w:rStyle w:val="contentpasted0"/>
          <w:rFonts w:ascii="Aptos" w:hAnsi="Aptos"/>
          <w:color w:val="000000" w:themeColor="text1"/>
        </w:rPr>
        <w:t xml:space="preserve">n digitaliseringsstrategi. </w:t>
      </w:r>
    </w:p>
    <w:p w14:paraId="01D0608F" w14:textId="77777777" w:rsidR="004B70E8" w:rsidRDefault="004B70E8" w:rsidP="006043D5">
      <w:pPr>
        <w:rPr>
          <w:rStyle w:val="contentpasted0"/>
          <w:rFonts w:ascii="Aptos" w:hAnsi="Aptos"/>
          <w:color w:val="000000" w:themeColor="text1"/>
        </w:rPr>
      </w:pPr>
    </w:p>
    <w:p w14:paraId="247A538F" w14:textId="77777777" w:rsidR="00FF75E9" w:rsidRPr="00DF57D4" w:rsidRDefault="00FF75E9" w:rsidP="00FF75E9">
      <w:pPr>
        <w:pStyle w:val="Listeavsnitt"/>
        <w:rPr>
          <w:rStyle w:val="contentpasted0"/>
          <w:rFonts w:ascii="Aptos" w:hAnsi="Aptos"/>
          <w:color w:val="000000"/>
        </w:rPr>
      </w:pPr>
    </w:p>
    <w:p w14:paraId="4D54A640" w14:textId="77777777" w:rsidR="006043D5" w:rsidRPr="006043D5" w:rsidRDefault="00FF75E9" w:rsidP="00FF75E9">
      <w:pPr>
        <w:pStyle w:val="Listeavsnitt"/>
        <w:numPr>
          <w:ilvl w:val="0"/>
          <w:numId w:val="2"/>
        </w:numPr>
        <w:rPr>
          <w:rStyle w:val="contentpasted0"/>
          <w:rFonts w:ascii="Aptos" w:hAnsi="Aptos"/>
          <w:color w:val="000000"/>
        </w:rPr>
      </w:pPr>
      <w:r w:rsidRPr="45E5EE1E">
        <w:rPr>
          <w:rStyle w:val="contentpasted0"/>
          <w:rFonts w:ascii="Aptos" w:hAnsi="Aptos"/>
          <w:b/>
          <w:color w:val="000000" w:themeColor="text1"/>
        </w:rPr>
        <w:t>Strategien må sikre p</w:t>
      </w:r>
      <w:r w:rsidRPr="008C696B">
        <w:rPr>
          <w:rStyle w:val="contentpasted0"/>
          <w:rFonts w:ascii="Aptos" w:hAnsi="Aptos"/>
          <w:b/>
          <w:color w:val="000000" w:themeColor="text1"/>
        </w:rPr>
        <w:t>ressefrihet på globale plattformer</w:t>
      </w:r>
      <w:r>
        <w:rPr>
          <w:rStyle w:val="contentpasted0"/>
          <w:rFonts w:ascii="Aptos" w:hAnsi="Aptos"/>
          <w:b/>
          <w:color w:val="000000" w:themeColor="text1"/>
        </w:rPr>
        <w:t>.</w:t>
      </w:r>
      <w:r w:rsidRPr="008C696B">
        <w:rPr>
          <w:rStyle w:val="contentpasted0"/>
          <w:rFonts w:ascii="Aptos" w:hAnsi="Aptos"/>
          <w:color w:val="000000" w:themeColor="text1"/>
        </w:rPr>
        <w:t xml:space="preserve"> </w:t>
      </w:r>
      <w:r>
        <w:rPr>
          <w:rStyle w:val="contentpasted0"/>
          <w:rFonts w:ascii="Aptos" w:hAnsi="Aptos"/>
          <w:color w:val="000000" w:themeColor="text1"/>
        </w:rPr>
        <w:br/>
      </w:r>
    </w:p>
    <w:p w14:paraId="5C5D875D" w14:textId="211978D0" w:rsidR="001667B9" w:rsidRDefault="00822781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En del av strategien bør </w:t>
      </w:r>
      <w:r w:rsidR="00DA23D7">
        <w:rPr>
          <w:rStyle w:val="contentpasted0"/>
          <w:rFonts w:ascii="Aptos" w:hAnsi="Aptos"/>
          <w:color w:val="000000" w:themeColor="text1"/>
        </w:rPr>
        <w:t>være å være tettere på</w:t>
      </w:r>
      <w:r w:rsidR="00CC13EF">
        <w:rPr>
          <w:rStyle w:val="contentpasted0"/>
          <w:rFonts w:ascii="Aptos" w:hAnsi="Aptos"/>
          <w:color w:val="000000" w:themeColor="text1"/>
        </w:rPr>
        <w:t xml:space="preserve"> </w:t>
      </w:r>
      <w:r w:rsidR="00675C04">
        <w:rPr>
          <w:rStyle w:val="contentpasted0"/>
          <w:rFonts w:ascii="Aptos" w:hAnsi="Aptos"/>
          <w:color w:val="000000" w:themeColor="text1"/>
        </w:rPr>
        <w:t>prosessene i</w:t>
      </w:r>
      <w:r w:rsidR="00CC13EF">
        <w:rPr>
          <w:rStyle w:val="contentpasted0"/>
          <w:rFonts w:ascii="Aptos" w:hAnsi="Aptos"/>
          <w:color w:val="000000" w:themeColor="text1"/>
        </w:rPr>
        <w:t xml:space="preserve"> EU </w:t>
      </w:r>
      <w:r w:rsidR="003817A5">
        <w:rPr>
          <w:rStyle w:val="contentpasted0"/>
          <w:rFonts w:ascii="Aptos" w:hAnsi="Aptos"/>
          <w:color w:val="000000" w:themeColor="text1"/>
        </w:rPr>
        <w:t xml:space="preserve">som påvirker den norske offentligheten. </w:t>
      </w:r>
      <w:r w:rsidR="00FD4BBA">
        <w:rPr>
          <w:rStyle w:val="contentpasted0"/>
          <w:rFonts w:ascii="Aptos" w:hAnsi="Aptos"/>
          <w:color w:val="000000" w:themeColor="text1"/>
        </w:rPr>
        <w:t>Dette gjelder alt fra</w:t>
      </w:r>
      <w:r w:rsidR="00721BE7">
        <w:rPr>
          <w:rStyle w:val="contentpasted0"/>
          <w:rFonts w:ascii="Aptos" w:hAnsi="Aptos"/>
          <w:color w:val="000000" w:themeColor="text1"/>
        </w:rPr>
        <w:t xml:space="preserve"> store spørsmål som </w:t>
      </w:r>
      <w:r w:rsidR="00B750B9">
        <w:rPr>
          <w:rStyle w:val="contentpasted0"/>
          <w:rFonts w:ascii="Aptos" w:hAnsi="Aptos"/>
          <w:color w:val="000000" w:themeColor="text1"/>
        </w:rPr>
        <w:t>regulering av tech-giganter</w:t>
      </w:r>
      <w:r w:rsidR="008D7397">
        <w:rPr>
          <w:rStyle w:val="contentpasted0"/>
          <w:rFonts w:ascii="Aptos" w:hAnsi="Aptos"/>
          <w:color w:val="000000" w:themeColor="text1"/>
        </w:rPr>
        <w:t xml:space="preserve"> og KI </w:t>
      </w:r>
      <w:r w:rsidR="00FA258E">
        <w:rPr>
          <w:rStyle w:val="contentpasted0"/>
          <w:rFonts w:ascii="Aptos" w:hAnsi="Aptos"/>
          <w:color w:val="000000" w:themeColor="text1"/>
        </w:rPr>
        <w:t xml:space="preserve">til </w:t>
      </w:r>
      <w:r w:rsidR="00721BE7">
        <w:rPr>
          <w:rStyle w:val="contentpasted0"/>
          <w:rFonts w:ascii="Aptos" w:hAnsi="Aptos"/>
          <w:color w:val="000000" w:themeColor="text1"/>
        </w:rPr>
        <w:t xml:space="preserve">de mer detaljerte som </w:t>
      </w:r>
      <w:r w:rsidR="00FA258E">
        <w:rPr>
          <w:rStyle w:val="contentpasted0"/>
          <w:rFonts w:ascii="Aptos" w:hAnsi="Aptos"/>
          <w:color w:val="000000" w:themeColor="text1"/>
        </w:rPr>
        <w:t>etablering av</w:t>
      </w:r>
      <w:r w:rsidR="00B750B9">
        <w:rPr>
          <w:rStyle w:val="contentpasted0"/>
          <w:rFonts w:ascii="Aptos" w:hAnsi="Aptos"/>
          <w:color w:val="000000" w:themeColor="text1"/>
        </w:rPr>
        <w:t xml:space="preserve"> felles </w:t>
      </w:r>
      <w:r w:rsidR="00AC570D">
        <w:rPr>
          <w:rStyle w:val="contentpasted0"/>
          <w:rFonts w:ascii="Aptos" w:hAnsi="Aptos"/>
          <w:color w:val="000000" w:themeColor="text1"/>
        </w:rPr>
        <w:t xml:space="preserve">europeisk </w:t>
      </w:r>
      <w:r w:rsidR="00B750B9">
        <w:rPr>
          <w:rStyle w:val="contentpasted0"/>
          <w:rFonts w:ascii="Aptos" w:hAnsi="Aptos"/>
          <w:color w:val="000000" w:themeColor="text1"/>
        </w:rPr>
        <w:t>digital identitet</w:t>
      </w:r>
      <w:r w:rsidR="00107F81">
        <w:rPr>
          <w:rStyle w:val="contentpasted0"/>
          <w:rFonts w:ascii="Aptos" w:hAnsi="Aptos"/>
          <w:color w:val="000000" w:themeColor="text1"/>
        </w:rPr>
        <w:t xml:space="preserve">. </w:t>
      </w:r>
      <w:r w:rsidR="001623C6">
        <w:rPr>
          <w:rStyle w:val="contentpasted0"/>
          <w:rFonts w:ascii="Aptos" w:hAnsi="Aptos"/>
          <w:color w:val="000000" w:themeColor="text1"/>
        </w:rPr>
        <w:t>Målet bør alltid være å finne løsninger som</w:t>
      </w:r>
      <w:r w:rsidR="001623C6" w:rsidRPr="001623C6">
        <w:rPr>
          <w:rStyle w:val="contentpasted0"/>
          <w:rFonts w:ascii="Aptos" w:hAnsi="Aptos"/>
          <w:color w:val="000000" w:themeColor="text1"/>
        </w:rPr>
        <w:t xml:space="preserve"> åpner for innovasjon, ivaretar redaksjonell frihet, samt stiller krav om åpenhet og gjennomsiktighe</w:t>
      </w:r>
      <w:r w:rsidR="003E1A55">
        <w:rPr>
          <w:rStyle w:val="contentpasted0"/>
          <w:rFonts w:ascii="Aptos" w:hAnsi="Aptos"/>
          <w:color w:val="000000" w:themeColor="text1"/>
        </w:rPr>
        <w:t>t.</w:t>
      </w:r>
      <w:r w:rsidR="00345140">
        <w:rPr>
          <w:rStyle w:val="contentpasted0"/>
          <w:rFonts w:ascii="Aptos" w:hAnsi="Aptos"/>
          <w:color w:val="000000" w:themeColor="text1"/>
        </w:rPr>
        <w:t xml:space="preserve"> </w:t>
      </w:r>
      <w:r w:rsidR="00672F69">
        <w:rPr>
          <w:rStyle w:val="contentpasted0"/>
          <w:rFonts w:ascii="Aptos" w:hAnsi="Aptos"/>
          <w:color w:val="000000" w:themeColor="text1"/>
        </w:rPr>
        <w:t>Norge bør dessuten kart</w:t>
      </w:r>
      <w:r w:rsidR="00345140">
        <w:rPr>
          <w:rStyle w:val="contentpasted0"/>
          <w:rFonts w:ascii="Aptos" w:hAnsi="Aptos"/>
          <w:color w:val="000000" w:themeColor="text1"/>
        </w:rPr>
        <w:t xml:space="preserve">legge og utnytte </w:t>
      </w:r>
      <w:r w:rsidR="00672F69">
        <w:rPr>
          <w:rStyle w:val="contentpasted0"/>
          <w:rFonts w:ascii="Aptos" w:hAnsi="Aptos"/>
          <w:color w:val="000000" w:themeColor="text1"/>
        </w:rPr>
        <w:t xml:space="preserve">eventuelle </w:t>
      </w:r>
      <w:r w:rsidR="00345140">
        <w:rPr>
          <w:rStyle w:val="contentpasted0"/>
          <w:rFonts w:ascii="Aptos" w:hAnsi="Aptos"/>
          <w:color w:val="000000" w:themeColor="text1"/>
        </w:rPr>
        <w:t>handlingsrom</w:t>
      </w:r>
      <w:r w:rsidR="00672F69">
        <w:rPr>
          <w:rStyle w:val="contentpasted0"/>
          <w:rFonts w:ascii="Aptos" w:hAnsi="Aptos"/>
          <w:color w:val="000000" w:themeColor="text1"/>
        </w:rPr>
        <w:t xml:space="preserve"> innenfor </w:t>
      </w:r>
      <w:r w:rsidR="001667B9">
        <w:rPr>
          <w:rStyle w:val="contentpasted0"/>
          <w:rFonts w:ascii="Aptos" w:hAnsi="Aptos"/>
          <w:color w:val="000000" w:themeColor="text1"/>
        </w:rPr>
        <w:t>forordninger som</w:t>
      </w:r>
      <w:r w:rsidR="00672F69">
        <w:rPr>
          <w:rStyle w:val="contentpasted0"/>
          <w:rFonts w:ascii="Aptos" w:hAnsi="Aptos"/>
          <w:color w:val="000000" w:themeColor="text1"/>
        </w:rPr>
        <w:t xml:space="preserve"> DSA og DMA, og vurdere hvordan disse kan brukes til å stille strengene krav til </w:t>
      </w:r>
      <w:r w:rsidR="00B66F6E">
        <w:rPr>
          <w:rStyle w:val="contentpasted0"/>
          <w:rFonts w:ascii="Aptos" w:hAnsi="Aptos"/>
          <w:color w:val="000000" w:themeColor="text1"/>
        </w:rPr>
        <w:t xml:space="preserve">innsyn i selskapenes operasjoner i Norge og hvordan de forholder seg til </w:t>
      </w:r>
      <w:r w:rsidR="00AA5590">
        <w:rPr>
          <w:rStyle w:val="contentpasted0"/>
          <w:rFonts w:ascii="Aptos" w:hAnsi="Aptos"/>
          <w:color w:val="000000" w:themeColor="text1"/>
        </w:rPr>
        <w:t>norskspråklig</w:t>
      </w:r>
      <w:r w:rsidR="00B66F6E">
        <w:rPr>
          <w:rStyle w:val="contentpasted0"/>
          <w:rFonts w:ascii="Aptos" w:hAnsi="Aptos"/>
          <w:color w:val="000000" w:themeColor="text1"/>
        </w:rPr>
        <w:t xml:space="preserve"> innhold. Dette var også en av </w:t>
      </w:r>
      <w:r w:rsidR="00AA5590">
        <w:rPr>
          <w:rStyle w:val="contentpasted0"/>
          <w:rFonts w:ascii="Aptos" w:hAnsi="Aptos"/>
          <w:color w:val="000000" w:themeColor="text1"/>
        </w:rPr>
        <w:t>Ytringsfrihetskommisjonens anbefalinger</w:t>
      </w:r>
      <w:r w:rsidR="00633D94">
        <w:rPr>
          <w:rStyle w:val="contentpasted0"/>
          <w:rFonts w:ascii="Aptos" w:hAnsi="Aptos"/>
          <w:color w:val="000000" w:themeColor="text1"/>
        </w:rPr>
        <w:t xml:space="preserve">, som også fremhevet at </w:t>
      </w:r>
      <w:r w:rsidR="007E2923">
        <w:rPr>
          <w:rStyle w:val="contentpasted0"/>
          <w:rFonts w:ascii="Aptos" w:hAnsi="Aptos"/>
          <w:color w:val="000000" w:themeColor="text1"/>
        </w:rPr>
        <w:t>t</w:t>
      </w:r>
      <w:r w:rsidR="00633D94" w:rsidRPr="00633D94">
        <w:rPr>
          <w:rStyle w:val="contentpasted0"/>
          <w:rFonts w:ascii="Aptos" w:hAnsi="Aptos"/>
          <w:color w:val="000000" w:themeColor="text1"/>
        </w:rPr>
        <w:t>ydelige nasjonale krav vil styrke Norges posisjon som foregangsland for åpenhet og innsyn i Europa.</w:t>
      </w:r>
      <w:r w:rsidR="00633D94">
        <w:rPr>
          <w:rStyle w:val="Fotnotereferanse"/>
          <w:rFonts w:ascii="Aptos" w:hAnsi="Aptos"/>
          <w:color w:val="000000" w:themeColor="text1"/>
        </w:rPr>
        <w:footnoteReference w:id="4"/>
      </w:r>
      <w:r w:rsidR="00AA5590">
        <w:rPr>
          <w:rStyle w:val="contentpasted0"/>
          <w:rFonts w:ascii="Aptos" w:hAnsi="Aptos"/>
          <w:color w:val="000000" w:themeColor="text1"/>
        </w:rPr>
        <w:br/>
      </w:r>
    </w:p>
    <w:p w14:paraId="431BD994" w14:textId="5792DA55" w:rsidR="006F64DC" w:rsidRDefault="00107F81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Som </w:t>
      </w:r>
      <w:r w:rsidR="004A1C60">
        <w:rPr>
          <w:rStyle w:val="contentpasted0"/>
          <w:rFonts w:ascii="Aptos" w:hAnsi="Aptos"/>
          <w:color w:val="000000" w:themeColor="text1"/>
        </w:rPr>
        <w:t>Digitaliseringsdirektoratet påpeker i sitt skriftlige innspill til strategien bør det være et mål for Norge å ta en mer aktiv rolle i EUs digitaliseringsarbeid og arbeid med å regulere tech-selskapene i fremtiden</w:t>
      </w:r>
      <w:r w:rsidR="008E0D75">
        <w:rPr>
          <w:rStyle w:val="contentpasted0"/>
          <w:rFonts w:ascii="Aptos" w:hAnsi="Aptos"/>
          <w:color w:val="000000" w:themeColor="text1"/>
        </w:rPr>
        <w:t>.</w:t>
      </w:r>
      <w:r w:rsidR="008E0D75" w:rsidRPr="008E0D75">
        <w:rPr>
          <w:rStyle w:val="contentpasted0"/>
          <w:rFonts w:ascii="Aptos" w:hAnsi="Aptos"/>
          <w:color w:val="000000" w:themeColor="text1"/>
        </w:rPr>
        <w:t xml:space="preserve"> </w:t>
      </w:r>
      <w:r w:rsidR="008E0D75">
        <w:rPr>
          <w:rStyle w:val="contentpasted0"/>
          <w:rFonts w:ascii="Aptos" w:hAnsi="Aptos"/>
          <w:color w:val="000000" w:themeColor="text1"/>
        </w:rPr>
        <w:t>D</w:t>
      </w:r>
      <w:r w:rsidR="008E0D75" w:rsidRPr="008E0D75">
        <w:rPr>
          <w:rStyle w:val="contentpasted0"/>
          <w:rFonts w:ascii="Aptos" w:hAnsi="Aptos"/>
          <w:color w:val="000000" w:themeColor="text1"/>
        </w:rPr>
        <w:t xml:space="preserve">ialogen mellom mediene og tech-gigantene </w:t>
      </w:r>
      <w:r w:rsidR="008E0D75">
        <w:rPr>
          <w:rStyle w:val="contentpasted0"/>
          <w:rFonts w:ascii="Aptos" w:hAnsi="Aptos"/>
          <w:color w:val="000000" w:themeColor="text1"/>
        </w:rPr>
        <w:t xml:space="preserve">må </w:t>
      </w:r>
      <w:r w:rsidR="008E0D75" w:rsidRPr="008E0D75">
        <w:rPr>
          <w:rStyle w:val="contentpasted0"/>
          <w:rFonts w:ascii="Aptos" w:hAnsi="Aptos"/>
          <w:color w:val="000000" w:themeColor="text1"/>
        </w:rPr>
        <w:t>opprettholdes.</w:t>
      </w:r>
      <w:r w:rsidR="008E0D75">
        <w:rPr>
          <w:rStyle w:val="contentpasted0"/>
          <w:rFonts w:ascii="Aptos" w:hAnsi="Aptos"/>
          <w:color w:val="000000" w:themeColor="text1"/>
        </w:rPr>
        <w:t xml:space="preserve"> </w:t>
      </w:r>
      <w:r w:rsidR="004A1C60">
        <w:rPr>
          <w:rStyle w:val="contentpasted0"/>
          <w:rFonts w:ascii="Aptos" w:hAnsi="Aptos"/>
          <w:color w:val="000000" w:themeColor="text1"/>
        </w:rPr>
        <w:t xml:space="preserve">Videre bør Norge ta en </w:t>
      </w:r>
      <w:r w:rsidR="002D62A2" w:rsidRPr="002D62A2">
        <w:rPr>
          <w:rStyle w:val="contentpasted0"/>
          <w:rFonts w:ascii="Aptos" w:hAnsi="Aptos"/>
          <w:color w:val="000000" w:themeColor="text1"/>
        </w:rPr>
        <w:t>pådriverrolle for å sørge for at tech-gigantene viser åpenhet og gir innsy</w:t>
      </w:r>
      <w:r w:rsidR="004E05E1">
        <w:rPr>
          <w:rStyle w:val="contentpasted0"/>
          <w:rFonts w:ascii="Aptos" w:hAnsi="Aptos"/>
          <w:color w:val="000000" w:themeColor="text1"/>
        </w:rPr>
        <w:t>n</w:t>
      </w:r>
      <w:r w:rsidR="008E0D75">
        <w:rPr>
          <w:rStyle w:val="contentpasted0"/>
          <w:rFonts w:ascii="Aptos" w:hAnsi="Aptos"/>
          <w:color w:val="000000" w:themeColor="text1"/>
        </w:rPr>
        <w:t xml:space="preserve">. Vi </w:t>
      </w:r>
      <w:r w:rsidR="004E05E1">
        <w:rPr>
          <w:rStyle w:val="contentpasted0"/>
          <w:rFonts w:ascii="Aptos" w:hAnsi="Aptos"/>
          <w:color w:val="000000" w:themeColor="text1"/>
        </w:rPr>
        <w:t xml:space="preserve">viser </w:t>
      </w:r>
      <w:r w:rsidR="004E05E1">
        <w:rPr>
          <w:rStyle w:val="contentpasted0"/>
          <w:rFonts w:ascii="Aptos" w:hAnsi="Aptos"/>
          <w:color w:val="000000" w:themeColor="text1"/>
        </w:rPr>
        <w:lastRenderedPageBreak/>
        <w:t>her til brev sendt fra press</w:t>
      </w:r>
      <w:r w:rsidR="007B3DE4">
        <w:rPr>
          <w:rStyle w:val="contentpasted0"/>
          <w:rFonts w:ascii="Aptos" w:hAnsi="Aptos"/>
          <w:color w:val="000000" w:themeColor="text1"/>
        </w:rPr>
        <w:t xml:space="preserve">eorganisasjonene til Kommunal- og distriktsdepartementet datert 8. februar. </w:t>
      </w:r>
      <w:r w:rsidR="006F64DC">
        <w:rPr>
          <w:rStyle w:val="Fotnotereferanse"/>
          <w:rFonts w:ascii="Aptos" w:hAnsi="Aptos"/>
          <w:color w:val="000000" w:themeColor="text1"/>
        </w:rPr>
        <w:footnoteReference w:id="5"/>
      </w:r>
    </w:p>
    <w:p w14:paraId="03E4571D" w14:textId="62C0BD02" w:rsidR="00FF75E9" w:rsidRPr="006F64DC" w:rsidRDefault="006F64DC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Det er dessuten behov for </w:t>
      </w:r>
      <w:r w:rsidR="00FF75E9" w:rsidRPr="006043D5">
        <w:rPr>
          <w:rStyle w:val="contentpasted0"/>
          <w:rFonts w:ascii="Aptos" w:hAnsi="Aptos"/>
          <w:color w:val="000000" w:themeColor="text1"/>
        </w:rPr>
        <w:t xml:space="preserve">systemer som sikrer dokumentasjon på brudd på kravene i de nye EU-forordningene DSA og EMFA. Medietilsynet bør få rollen som nasjonal koordinator med ansvar for å håndheve DSA. </w:t>
      </w:r>
    </w:p>
    <w:p w14:paraId="69EEB5EB" w14:textId="77777777" w:rsidR="00FF75E9" w:rsidRDefault="00FF75E9" w:rsidP="00FF75E9">
      <w:pPr>
        <w:rPr>
          <w:rStyle w:val="contentpasted0"/>
          <w:rFonts w:ascii="Aptos" w:hAnsi="Aptos"/>
          <w:color w:val="000000"/>
        </w:rPr>
      </w:pPr>
    </w:p>
    <w:p w14:paraId="6767FCBD" w14:textId="77777777" w:rsidR="006043D5" w:rsidRPr="006043D5" w:rsidRDefault="00FF75E9" w:rsidP="00FF75E9">
      <w:pPr>
        <w:pStyle w:val="Listeavsnitt"/>
        <w:numPr>
          <w:ilvl w:val="0"/>
          <w:numId w:val="2"/>
        </w:numPr>
        <w:rPr>
          <w:rStyle w:val="contentpasted0"/>
          <w:lang w:eastAsia="en-US"/>
        </w:rPr>
      </w:pPr>
      <w:r w:rsidRPr="00877019">
        <w:rPr>
          <w:rStyle w:val="contentpasted0"/>
          <w:rFonts w:ascii="Aptos" w:hAnsi="Aptos"/>
          <w:b/>
          <w:color w:val="000000" w:themeColor="text1"/>
        </w:rPr>
        <w:t xml:space="preserve">Strategien </w:t>
      </w:r>
      <w:r w:rsidRPr="00877019">
        <w:rPr>
          <w:rStyle w:val="contentpasted0"/>
          <w:rFonts w:ascii="Aptos" w:hAnsi="Aptos"/>
          <w:b/>
          <w:bCs/>
          <w:color w:val="000000" w:themeColor="text1"/>
        </w:rPr>
        <w:t>må</w:t>
      </w:r>
      <w:r w:rsidRPr="00877019">
        <w:rPr>
          <w:rStyle w:val="contentpasted0"/>
          <w:rFonts w:ascii="Aptos" w:hAnsi="Aptos"/>
          <w:b/>
          <w:color w:val="000000" w:themeColor="text1"/>
        </w:rPr>
        <w:t xml:space="preserve"> </w:t>
      </w:r>
      <w:r>
        <w:rPr>
          <w:rStyle w:val="contentpasted0"/>
          <w:rFonts w:ascii="Aptos" w:hAnsi="Aptos"/>
          <w:b/>
          <w:color w:val="000000" w:themeColor="text1"/>
        </w:rPr>
        <w:t>legge til rette</w:t>
      </w:r>
      <w:r w:rsidRPr="00877019">
        <w:rPr>
          <w:rStyle w:val="contentpasted0"/>
          <w:rFonts w:ascii="Aptos" w:hAnsi="Aptos"/>
          <w:b/>
          <w:color w:val="000000" w:themeColor="text1"/>
        </w:rPr>
        <w:t xml:space="preserve"> for en s</w:t>
      </w:r>
      <w:r w:rsidRPr="008C696B">
        <w:rPr>
          <w:rStyle w:val="contentpasted0"/>
          <w:rFonts w:ascii="Aptos" w:hAnsi="Aptos"/>
          <w:b/>
          <w:color w:val="000000" w:themeColor="text1"/>
        </w:rPr>
        <w:t>tyrket mediepolitikk</w:t>
      </w:r>
      <w:r>
        <w:rPr>
          <w:rStyle w:val="contentpasted0"/>
          <w:rFonts w:ascii="Aptos" w:hAnsi="Aptos"/>
          <w:b/>
          <w:color w:val="000000" w:themeColor="text1"/>
        </w:rPr>
        <w:t>.</w:t>
      </w:r>
      <w:r>
        <w:rPr>
          <w:rStyle w:val="contentpasted0"/>
          <w:rFonts w:ascii="Aptos" w:hAnsi="Aptos"/>
          <w:b/>
          <w:color w:val="000000" w:themeColor="text1"/>
        </w:rPr>
        <w:br/>
      </w:r>
    </w:p>
    <w:p w14:paraId="761D2E53" w14:textId="7EC2FD94" w:rsidR="00AF7813" w:rsidRDefault="00FF75E9" w:rsidP="006043D5">
      <w:r w:rsidRPr="006043D5">
        <w:rPr>
          <w:rStyle w:val="contentpasted0"/>
          <w:rFonts w:ascii="Aptos" w:hAnsi="Aptos"/>
          <w:bCs/>
          <w:color w:val="000000" w:themeColor="text1"/>
        </w:rPr>
        <w:t xml:space="preserve">En stadig strøm av uredigert informasjon øker faren for å bli </w:t>
      </w:r>
      <w:r w:rsidRPr="006043D5">
        <w:rPr>
          <w:rStyle w:val="contentpasted0"/>
          <w:rFonts w:ascii="Aptos" w:hAnsi="Aptos"/>
          <w:color w:val="000000" w:themeColor="text1"/>
        </w:rPr>
        <w:t>lurt, desinformert eller utsatt for skadelige påvirkningsoperasjoner</w:t>
      </w:r>
      <w:r w:rsidR="00377F33">
        <w:t>.</w:t>
      </w:r>
      <w:r>
        <w:t xml:space="preserve"> Skaden ved feilinformasjon </w:t>
      </w:r>
      <w:r w:rsidRPr="006043D5">
        <w:rPr>
          <w:rStyle w:val="contentpasted0"/>
          <w:rFonts w:ascii="Aptos" w:hAnsi="Aptos"/>
          <w:color w:val="000000" w:themeColor="text1"/>
        </w:rPr>
        <w:t xml:space="preserve">og falske nyheter </w:t>
      </w:r>
      <w:r>
        <w:t>er uoverskuelig</w:t>
      </w:r>
      <w:r w:rsidR="00A66E94">
        <w:t xml:space="preserve">. </w:t>
      </w:r>
      <w:r w:rsidR="004E1C87">
        <w:t xml:space="preserve">Et viktig punkt i regjeringens digitaliseringsstrategi må være å styrke samfunnets </w:t>
      </w:r>
      <w:r w:rsidR="004A3447">
        <w:t xml:space="preserve">evne til å stå </w:t>
      </w:r>
      <w:r w:rsidR="00BD31F5">
        <w:t>imot</w:t>
      </w:r>
      <w:r w:rsidR="004A3447">
        <w:t xml:space="preserve"> denne type ytringer. </w:t>
      </w:r>
    </w:p>
    <w:p w14:paraId="6F9D1830" w14:textId="26D97DF4" w:rsidR="008E4FF2" w:rsidRDefault="00651F26" w:rsidP="006043D5">
      <w:r>
        <w:t>Y</w:t>
      </w:r>
      <w:r w:rsidR="00615496">
        <w:t>tringsfrihetskommisjon</w:t>
      </w:r>
      <w:r w:rsidR="000309D5">
        <w:t xml:space="preserve">ens klare anbefaling </w:t>
      </w:r>
      <w:r w:rsidR="00D63D3A">
        <w:t xml:space="preserve">var å </w:t>
      </w:r>
      <w:r w:rsidR="00615496">
        <w:t>styrke samfunnets motstandskra</w:t>
      </w:r>
      <w:r w:rsidR="004E1C87">
        <w:t>ft</w:t>
      </w:r>
      <w:r w:rsidR="00615496">
        <w:t xml:space="preserve"> framfor å </w:t>
      </w:r>
      <w:r w:rsidR="008E4FF2">
        <w:t xml:space="preserve">forsøke å </w:t>
      </w:r>
      <w:r w:rsidR="008E4FF2" w:rsidRPr="0075177C">
        <w:rPr>
          <w:rStyle w:val="contentpasted0"/>
          <w:rFonts w:ascii="Aptos" w:hAnsi="Aptos"/>
          <w:color w:val="000000" w:themeColor="text1"/>
        </w:rPr>
        <w:t>regulere seg bort fra innslag av usannheter og feilinformasjon i offentlighete</w:t>
      </w:r>
      <w:r w:rsidR="00087E55">
        <w:rPr>
          <w:rStyle w:val="contentpasted0"/>
          <w:rFonts w:ascii="Aptos" w:hAnsi="Aptos"/>
          <w:color w:val="000000" w:themeColor="text1"/>
        </w:rPr>
        <w:t>n</w:t>
      </w:r>
      <w:r w:rsidR="008E4FF2">
        <w:rPr>
          <w:rStyle w:val="contentpasted0"/>
          <w:rFonts w:ascii="Aptos" w:hAnsi="Aptos"/>
          <w:color w:val="000000" w:themeColor="text1"/>
        </w:rPr>
        <w:t xml:space="preserve">: </w:t>
      </w:r>
    </w:p>
    <w:p w14:paraId="572932FC" w14:textId="0D22F926" w:rsidR="00AF7813" w:rsidRDefault="008E4FF2" w:rsidP="006043D5">
      <w:r>
        <w:t>«</w:t>
      </w:r>
      <w:r w:rsidR="00AF7813" w:rsidRPr="00AF7813">
        <w:t>Det viktigste som kan gjøres for å redusere og håndtere skadevirkninger, er å styrke samfunnets og den enkelte medborgers evne til å vurdere, sortere og håndtere flommen av tilgjengelig informasjon. En godt utdannet befolkning som forholder seg kritisk og selvstendig til informasjonen den konsumerer – det man kan kalle beredte borgere – er den beste beskyttelsen mot desinformasjon.</w:t>
      </w:r>
      <w:r>
        <w:t>»</w:t>
      </w:r>
      <w:r w:rsidR="00443E27">
        <w:rPr>
          <w:rStyle w:val="Fotnotereferanse"/>
        </w:rPr>
        <w:footnoteReference w:id="6"/>
      </w:r>
    </w:p>
    <w:p w14:paraId="1CC46E45" w14:textId="62838E87" w:rsidR="00D63D3A" w:rsidRPr="008B1543" w:rsidRDefault="00C40802" w:rsidP="006043D5">
      <w:pPr>
        <w:rPr>
          <w:rStyle w:val="contentpasted0"/>
        </w:rPr>
      </w:pPr>
      <w:r>
        <w:br/>
      </w:r>
      <w:r w:rsidR="0073263F">
        <w:t xml:space="preserve">En </w:t>
      </w:r>
      <w:r w:rsidR="00EC2082">
        <w:t>avgjørende</w:t>
      </w:r>
      <w:r w:rsidR="0073263F">
        <w:t xml:space="preserve"> faktor </w:t>
      </w:r>
      <w:r w:rsidR="00087E55">
        <w:t xml:space="preserve">for å styrke borgeres evne </w:t>
      </w:r>
      <w:r w:rsidR="008B1543">
        <w:t xml:space="preserve">til å stå </w:t>
      </w:r>
      <w:r w:rsidR="0042265E">
        <w:t>imot</w:t>
      </w:r>
      <w:r w:rsidR="008B1543">
        <w:t xml:space="preserve"> falske nyheter og feilinformasjon, </w:t>
      </w:r>
      <w:r w:rsidR="00D6616D">
        <w:t>er</w:t>
      </w:r>
      <w:r w:rsidR="008B1543">
        <w:t xml:space="preserve"> </w:t>
      </w:r>
      <w:r w:rsidR="00597059">
        <w:t>et mangfold</w:t>
      </w:r>
      <w:r w:rsidRPr="006043D5">
        <w:rPr>
          <w:rStyle w:val="contentpasted0"/>
          <w:rFonts w:ascii="Aptos" w:hAnsi="Aptos"/>
          <w:color w:val="000000" w:themeColor="text1"/>
        </w:rPr>
        <w:t xml:space="preserve"> av frie og uavhengige redaktørstyrte medier</w:t>
      </w:r>
      <w:r>
        <w:rPr>
          <w:rStyle w:val="contentpasted0"/>
          <w:rFonts w:ascii="Aptos" w:hAnsi="Aptos"/>
          <w:color w:val="000000" w:themeColor="text1"/>
        </w:rPr>
        <w:t xml:space="preserve"> som kan formidle informasjon basert på et sett av etterprøvbare og forutsigbare prinsipper</w:t>
      </w:r>
      <w:r w:rsidR="00D6616D">
        <w:rPr>
          <w:rStyle w:val="contentpasted0"/>
          <w:rFonts w:ascii="Aptos" w:hAnsi="Aptos"/>
          <w:color w:val="000000" w:themeColor="text1"/>
        </w:rPr>
        <w:t xml:space="preserve">, og som når ut til flest mulig </w:t>
      </w:r>
      <w:r w:rsidR="000C5718">
        <w:rPr>
          <w:rStyle w:val="contentpasted0"/>
          <w:rFonts w:ascii="Aptos" w:hAnsi="Aptos"/>
          <w:color w:val="000000" w:themeColor="text1"/>
        </w:rPr>
        <w:t>deler av samfunnet</w:t>
      </w:r>
      <w:r w:rsidR="00E83EE1">
        <w:rPr>
          <w:rStyle w:val="contentpasted0"/>
          <w:rFonts w:ascii="Aptos" w:hAnsi="Aptos"/>
          <w:color w:val="000000" w:themeColor="text1"/>
        </w:rPr>
        <w:t>.</w:t>
      </w:r>
      <w:r w:rsidR="00EC2082">
        <w:rPr>
          <w:rStyle w:val="contentpasted0"/>
          <w:rFonts w:ascii="Aptos" w:hAnsi="Aptos"/>
          <w:color w:val="000000" w:themeColor="text1"/>
        </w:rPr>
        <w:t xml:space="preserve"> Dette trekkes fram både av </w:t>
      </w:r>
      <w:r w:rsidR="00EC2082">
        <w:t>Både Ytringsfrihetskommisjonen og Totalberedskapskommisjonen</w:t>
      </w:r>
      <w:r w:rsidR="002D54E9">
        <w:t xml:space="preserve">. </w:t>
      </w:r>
      <w:r w:rsidR="00396D63" w:rsidRPr="00396D63">
        <w:t xml:space="preserve">Samfunn hvor flere forholder seg til et begrenset antall samlende og allment respekterte medier, er </w:t>
      </w:r>
      <w:r w:rsidR="0091425E">
        <w:t>også i forskning trukket fram som en faktor som påvirker skadepotensialet i et samfunn</w:t>
      </w:r>
      <w:r w:rsidR="00EF32C8">
        <w:t xml:space="preserve"> negativt</w:t>
      </w:r>
      <w:r w:rsidR="0091425E">
        <w:t>.</w:t>
      </w:r>
      <w:r w:rsidR="00872DEF">
        <w:rPr>
          <w:rStyle w:val="Fotnotereferanse"/>
        </w:rPr>
        <w:footnoteReference w:id="7"/>
      </w:r>
    </w:p>
    <w:p w14:paraId="7BB70D4A" w14:textId="3A82199C" w:rsidR="005B2378" w:rsidRPr="00872DEF" w:rsidRDefault="003E1EF8" w:rsidP="006043D5">
      <w:r>
        <w:t xml:space="preserve">Å legge til rette for en styrket mediepolitikk </w:t>
      </w:r>
      <w:r w:rsidR="00FD2442">
        <w:t xml:space="preserve">som tilrettelegger for </w:t>
      </w:r>
      <w:r w:rsidR="00F233C0">
        <w:t xml:space="preserve">et mangfold </w:t>
      </w:r>
      <w:r w:rsidR="007E2923">
        <w:t xml:space="preserve">av </w:t>
      </w:r>
      <w:r w:rsidR="00F233C0">
        <w:t xml:space="preserve">uavhengige redaksjonelle medier </w:t>
      </w:r>
      <w:r>
        <w:t>bør derfor være en del av ny digital</w:t>
      </w:r>
      <w:r w:rsidR="007E2923">
        <w:t>i</w:t>
      </w:r>
      <w:r>
        <w:t xml:space="preserve">seringspolitikk. </w:t>
      </w:r>
    </w:p>
    <w:p w14:paraId="167C3579" w14:textId="77777777" w:rsidR="00FF75E9" w:rsidRPr="00621382" w:rsidRDefault="00FF75E9" w:rsidP="00FF75E9">
      <w:pPr>
        <w:rPr>
          <w:rStyle w:val="contentpasted0"/>
          <w:b/>
          <w:bCs/>
        </w:rPr>
      </w:pPr>
    </w:p>
    <w:p w14:paraId="34ABC7B2" w14:textId="77777777" w:rsidR="006043D5" w:rsidRPr="006043D5" w:rsidRDefault="00FF75E9" w:rsidP="00FF75E9">
      <w:pPr>
        <w:pStyle w:val="Listeavsnitt"/>
        <w:numPr>
          <w:ilvl w:val="0"/>
          <w:numId w:val="2"/>
        </w:numPr>
        <w:rPr>
          <w:rFonts w:ascii="Aptos" w:hAnsi="Aptos"/>
          <w:color w:val="000000"/>
        </w:rPr>
      </w:pPr>
      <w:r w:rsidRPr="00DF57D4">
        <w:rPr>
          <w:rStyle w:val="contentpasted0"/>
          <w:rFonts w:ascii="Aptos" w:hAnsi="Aptos"/>
          <w:b/>
          <w:color w:val="000000" w:themeColor="text1"/>
        </w:rPr>
        <w:t>Strategien må tilrettelegge for dokumentinnsyn ved automatisert saksbehandling og viderebruk av offentlig informasjon.</w:t>
      </w:r>
      <w:r w:rsidRPr="00DF57D4">
        <w:rPr>
          <w:rStyle w:val="contentpasted0"/>
          <w:rFonts w:ascii="Aptos" w:hAnsi="Aptos"/>
          <w:b/>
          <w:color w:val="000000" w:themeColor="text1"/>
        </w:rPr>
        <w:br/>
      </w:r>
    </w:p>
    <w:p w14:paraId="1EE4ED55" w14:textId="77777777" w:rsidR="00DF4C7F" w:rsidRDefault="008F5745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Det bør fremgå av strategien at </w:t>
      </w:r>
      <w:r w:rsidR="00DF4C7F">
        <w:rPr>
          <w:rStyle w:val="contentpasted0"/>
          <w:rFonts w:ascii="Aptos" w:hAnsi="Aptos"/>
          <w:color w:val="000000" w:themeColor="text1"/>
        </w:rPr>
        <w:t xml:space="preserve">offentlighetsprinsippet og innsynsretten må sikres </w:t>
      </w:r>
      <w:r w:rsidR="00DF4C7F" w:rsidRPr="00DF4C7F">
        <w:rPr>
          <w:rStyle w:val="contentpasted0"/>
          <w:rFonts w:ascii="Aptos" w:hAnsi="Aptos"/>
          <w:i/>
          <w:iCs/>
          <w:color w:val="000000" w:themeColor="text1"/>
        </w:rPr>
        <w:t xml:space="preserve">før </w:t>
      </w:r>
      <w:r w:rsidR="006043D5">
        <w:rPr>
          <w:rStyle w:val="contentpasted0"/>
          <w:rFonts w:ascii="Aptos" w:hAnsi="Aptos"/>
          <w:color w:val="000000" w:themeColor="text1"/>
        </w:rPr>
        <w:t xml:space="preserve">forvaltningen tar i bruk </w:t>
      </w:r>
      <w:r w:rsidR="004D5B50">
        <w:rPr>
          <w:rStyle w:val="contentpasted0"/>
          <w:rFonts w:ascii="Aptos" w:hAnsi="Aptos"/>
          <w:color w:val="000000" w:themeColor="text1"/>
        </w:rPr>
        <w:t xml:space="preserve">nye digitale systemer </w:t>
      </w:r>
      <w:r w:rsidR="0008746C">
        <w:rPr>
          <w:rStyle w:val="contentpasted0"/>
          <w:rFonts w:ascii="Aptos" w:hAnsi="Aptos"/>
          <w:color w:val="000000" w:themeColor="text1"/>
        </w:rPr>
        <w:t xml:space="preserve">og nye former for </w:t>
      </w:r>
      <w:r w:rsidR="006043D5">
        <w:rPr>
          <w:rStyle w:val="contentpasted0"/>
          <w:rFonts w:ascii="Aptos" w:hAnsi="Aptos"/>
          <w:color w:val="000000" w:themeColor="text1"/>
        </w:rPr>
        <w:t>automatisert saksbehandling</w:t>
      </w:r>
      <w:r w:rsidR="00DF4C7F">
        <w:rPr>
          <w:rStyle w:val="contentpasted0"/>
          <w:rFonts w:ascii="Aptos" w:hAnsi="Aptos"/>
          <w:color w:val="000000" w:themeColor="text1"/>
        </w:rPr>
        <w:t xml:space="preserve">. </w:t>
      </w:r>
    </w:p>
    <w:p w14:paraId="39B93259" w14:textId="61A39AC3" w:rsidR="00530992" w:rsidRDefault="00FF75E9" w:rsidP="006043D5">
      <w:pPr>
        <w:rPr>
          <w:rStyle w:val="contentpasted0"/>
          <w:rFonts w:ascii="Aptos" w:hAnsi="Aptos"/>
          <w:color w:val="000000" w:themeColor="text1"/>
        </w:rPr>
      </w:pPr>
      <w:r w:rsidRPr="006043D5">
        <w:rPr>
          <w:rStyle w:val="contentpasted0"/>
          <w:rFonts w:ascii="Aptos" w:hAnsi="Aptos"/>
          <w:color w:val="000000" w:themeColor="text1"/>
        </w:rPr>
        <w:t>Det er viktig at forvaltningen ikke tar i bruk systemer før retten til innsyn er sikret i løsningen.</w:t>
      </w:r>
      <w:r w:rsidR="004815C4">
        <w:rPr>
          <w:rStyle w:val="contentpasted0"/>
          <w:rFonts w:ascii="Aptos" w:hAnsi="Aptos"/>
          <w:color w:val="000000" w:themeColor="text1"/>
        </w:rPr>
        <w:t xml:space="preserve"> Et eksempel på det motsatte er en </w:t>
      </w:r>
      <w:r w:rsidR="004D5B50">
        <w:rPr>
          <w:rStyle w:val="contentpasted0"/>
          <w:rFonts w:ascii="Aptos" w:hAnsi="Aptos"/>
          <w:color w:val="000000" w:themeColor="text1"/>
        </w:rPr>
        <w:t>løsning</w:t>
      </w:r>
      <w:r w:rsidR="004815C4">
        <w:rPr>
          <w:rStyle w:val="contentpasted0"/>
          <w:rFonts w:ascii="Aptos" w:hAnsi="Aptos"/>
          <w:color w:val="000000" w:themeColor="text1"/>
        </w:rPr>
        <w:t xml:space="preserve"> som viser seg å være </w:t>
      </w:r>
      <w:r w:rsidR="00EF55E2">
        <w:rPr>
          <w:rStyle w:val="contentpasted0"/>
          <w:rFonts w:ascii="Aptos" w:hAnsi="Aptos"/>
          <w:color w:val="000000" w:themeColor="text1"/>
        </w:rPr>
        <w:t>utbredt i flere</w:t>
      </w:r>
      <w:r w:rsidR="004815C4">
        <w:rPr>
          <w:rStyle w:val="contentpasted0"/>
          <w:rFonts w:ascii="Aptos" w:hAnsi="Aptos"/>
          <w:color w:val="000000" w:themeColor="text1"/>
        </w:rPr>
        <w:t xml:space="preserve"> </w:t>
      </w:r>
      <w:r w:rsidR="004D5B50">
        <w:rPr>
          <w:rStyle w:val="contentpasted0"/>
          <w:rFonts w:ascii="Aptos" w:hAnsi="Aptos"/>
          <w:color w:val="000000" w:themeColor="text1"/>
        </w:rPr>
        <w:t>norske kommuner</w:t>
      </w:r>
      <w:r w:rsidR="004815C4">
        <w:rPr>
          <w:rStyle w:val="contentpasted0"/>
          <w:rFonts w:ascii="Aptos" w:hAnsi="Aptos"/>
          <w:color w:val="000000" w:themeColor="text1"/>
        </w:rPr>
        <w:t xml:space="preserve">, der folkevalgte kommuniserer i en egen løsning uten innsyn for allmennheten. Til tross for at Sivilombudet i to uttalelser </w:t>
      </w:r>
      <w:r w:rsidR="001D0048">
        <w:rPr>
          <w:rStyle w:val="contentpasted0"/>
          <w:rFonts w:ascii="Aptos" w:hAnsi="Aptos"/>
          <w:color w:val="000000" w:themeColor="text1"/>
        </w:rPr>
        <w:t xml:space="preserve">etter klage på en konkret kommune </w:t>
      </w:r>
      <w:r w:rsidR="004815C4">
        <w:rPr>
          <w:rStyle w:val="contentpasted0"/>
          <w:rFonts w:ascii="Aptos" w:hAnsi="Aptos"/>
          <w:color w:val="000000" w:themeColor="text1"/>
        </w:rPr>
        <w:t xml:space="preserve">har uttalt seg kritisk om </w:t>
      </w:r>
      <w:r w:rsidR="004815C4">
        <w:rPr>
          <w:rStyle w:val="contentpasted0"/>
          <w:rFonts w:ascii="Aptos" w:hAnsi="Aptos"/>
          <w:color w:val="000000" w:themeColor="text1"/>
        </w:rPr>
        <w:lastRenderedPageBreak/>
        <w:t xml:space="preserve">løsningen og </w:t>
      </w:r>
      <w:r w:rsidR="00035C8A">
        <w:rPr>
          <w:rStyle w:val="contentpasted0"/>
          <w:rFonts w:ascii="Aptos" w:hAnsi="Aptos"/>
          <w:color w:val="000000" w:themeColor="text1"/>
        </w:rPr>
        <w:t>påpekt at forvaltningen ikk</w:t>
      </w:r>
      <w:r w:rsidR="00530992">
        <w:rPr>
          <w:rStyle w:val="contentpasted0"/>
          <w:rFonts w:ascii="Aptos" w:hAnsi="Aptos"/>
          <w:color w:val="000000" w:themeColor="text1"/>
        </w:rPr>
        <w:t>e</w:t>
      </w:r>
      <w:r w:rsidR="00035C8A">
        <w:rPr>
          <w:rStyle w:val="contentpasted0"/>
          <w:rFonts w:ascii="Aptos" w:hAnsi="Aptos"/>
          <w:color w:val="000000" w:themeColor="text1"/>
        </w:rPr>
        <w:t xml:space="preserve"> </w:t>
      </w:r>
      <w:r w:rsidR="00530992">
        <w:rPr>
          <w:rStyle w:val="contentpasted0"/>
          <w:rFonts w:ascii="Aptos" w:hAnsi="Aptos"/>
          <w:color w:val="000000" w:themeColor="text1"/>
        </w:rPr>
        <w:t>kan</w:t>
      </w:r>
      <w:r w:rsidR="00035C8A">
        <w:rPr>
          <w:rStyle w:val="contentpasted0"/>
          <w:rFonts w:ascii="Aptos" w:hAnsi="Aptos"/>
          <w:color w:val="000000" w:themeColor="text1"/>
        </w:rPr>
        <w:t xml:space="preserve"> ta i bruk digitale </w:t>
      </w:r>
      <w:r w:rsidR="00530992">
        <w:rPr>
          <w:rStyle w:val="contentpasted0"/>
          <w:rFonts w:ascii="Aptos" w:hAnsi="Aptos"/>
          <w:color w:val="000000" w:themeColor="text1"/>
        </w:rPr>
        <w:t>løsninger</w:t>
      </w:r>
      <w:r w:rsidR="00035C8A">
        <w:rPr>
          <w:rStyle w:val="contentpasted0"/>
          <w:rFonts w:ascii="Aptos" w:hAnsi="Aptos"/>
          <w:color w:val="000000" w:themeColor="text1"/>
        </w:rPr>
        <w:t xml:space="preserve"> i strid med offentlighetsprinsippet, </w:t>
      </w:r>
      <w:r w:rsidR="00530992">
        <w:rPr>
          <w:rStyle w:val="contentpasted0"/>
          <w:rFonts w:ascii="Aptos" w:hAnsi="Aptos"/>
          <w:color w:val="000000" w:themeColor="text1"/>
        </w:rPr>
        <w:t>har praksisen i den aktuelle kommunen fortsatt.</w:t>
      </w:r>
      <w:r w:rsidR="001D0048">
        <w:rPr>
          <w:rStyle w:val="Fotnotereferanse"/>
          <w:rFonts w:ascii="Aptos" w:hAnsi="Aptos"/>
          <w:color w:val="000000" w:themeColor="text1"/>
        </w:rPr>
        <w:footnoteReference w:id="8"/>
      </w:r>
      <w:r w:rsidR="008F5745">
        <w:rPr>
          <w:rStyle w:val="contentpasted0"/>
          <w:rFonts w:ascii="Aptos" w:hAnsi="Aptos"/>
          <w:color w:val="000000" w:themeColor="text1"/>
        </w:rPr>
        <w:t xml:space="preserve"> </w:t>
      </w:r>
    </w:p>
    <w:p w14:paraId="7DF30BF1" w14:textId="39F7D3DB" w:rsidR="004815C4" w:rsidRDefault="001D0048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Formuleringen fra Sivilombudet i den ene saken, kan være til inspirasjon for hvordan dette kan formuleres: </w:t>
      </w:r>
      <w:r>
        <w:rPr>
          <w:rStyle w:val="contentpasted0"/>
          <w:rFonts w:ascii="Aptos" w:hAnsi="Aptos"/>
          <w:color w:val="000000" w:themeColor="text1"/>
        </w:rPr>
        <w:br/>
      </w:r>
      <w:r>
        <w:rPr>
          <w:rStyle w:val="contentpasted0"/>
          <w:rFonts w:ascii="Aptos" w:hAnsi="Aptos"/>
          <w:color w:val="000000" w:themeColor="text1"/>
        </w:rPr>
        <w:br/>
        <w:t>«</w:t>
      </w:r>
      <w:r w:rsidR="00530992" w:rsidRPr="00530992">
        <w:rPr>
          <w:rStyle w:val="contentpasted0"/>
          <w:rFonts w:ascii="Aptos" w:hAnsi="Aptos"/>
          <w:color w:val="000000" w:themeColor="text1"/>
        </w:rPr>
        <w:t>Ombudet vil derfor avslutningsvis minne om at forvaltningen plikter å innrette seg på en måte som gjør at den klarer å overholde de rettslige rammene for saksbehandlingen. Forvaltningen kan derfor ikke ta i bruk digitale verktøy som gjør at den ikke klarer å overholde de rettslige rammene – herunder forvaltningsloven, offentleglova og kommuneloven.</w:t>
      </w:r>
      <w:r w:rsidR="00CC1A69">
        <w:rPr>
          <w:rStyle w:val="contentpasted0"/>
          <w:rFonts w:ascii="Aptos" w:hAnsi="Aptos"/>
          <w:color w:val="000000" w:themeColor="text1"/>
        </w:rPr>
        <w:t xml:space="preserve"> (punkt 3)»</w:t>
      </w:r>
    </w:p>
    <w:p w14:paraId="361C2F03" w14:textId="13D42400" w:rsidR="00FF75E9" w:rsidRPr="00CD40F0" w:rsidRDefault="00EB74F4" w:rsidP="006043D5">
      <w:pPr>
        <w:rPr>
          <w:rStyle w:val="contentpasted0"/>
          <w:rFonts w:ascii="Aptos" w:hAnsi="Aptos"/>
          <w:color w:val="000000" w:themeColor="text1"/>
        </w:rPr>
      </w:pPr>
      <w:r>
        <w:rPr>
          <w:rStyle w:val="contentpasted0"/>
          <w:rFonts w:ascii="Aptos" w:hAnsi="Aptos"/>
          <w:color w:val="000000" w:themeColor="text1"/>
        </w:rPr>
        <w:t xml:space="preserve">Videre er det avgjørende viktig for muligheten til å kontrollere datagrunnlag og saksbehandling at det </w:t>
      </w:r>
      <w:r w:rsidR="00EF32C8">
        <w:rPr>
          <w:rStyle w:val="contentpasted0"/>
          <w:rFonts w:ascii="Aptos" w:hAnsi="Aptos"/>
          <w:color w:val="000000" w:themeColor="text1"/>
        </w:rPr>
        <w:t xml:space="preserve">gis </w:t>
      </w:r>
      <w:r>
        <w:rPr>
          <w:rStyle w:val="contentpasted0"/>
          <w:rFonts w:ascii="Aptos" w:hAnsi="Aptos"/>
          <w:color w:val="000000" w:themeColor="text1"/>
        </w:rPr>
        <w:t>innsyn</w:t>
      </w:r>
      <w:r w:rsidR="00FF75E9" w:rsidRPr="006043D5">
        <w:rPr>
          <w:rStyle w:val="contentpasted0"/>
          <w:rFonts w:ascii="Aptos" w:hAnsi="Aptos"/>
          <w:color w:val="000000" w:themeColor="text1"/>
        </w:rPr>
        <w:t xml:space="preserve"> i datagrunnlaget </w:t>
      </w:r>
      <w:r>
        <w:rPr>
          <w:rStyle w:val="contentpasted0"/>
          <w:rFonts w:ascii="Aptos" w:hAnsi="Aptos"/>
          <w:color w:val="000000" w:themeColor="text1"/>
        </w:rPr>
        <w:t xml:space="preserve">ved automatisert saksbehandling </w:t>
      </w:r>
      <w:r w:rsidR="00FF75E9" w:rsidRPr="006043D5">
        <w:rPr>
          <w:rStyle w:val="contentpasted0"/>
          <w:rFonts w:ascii="Aptos" w:hAnsi="Aptos"/>
          <w:color w:val="000000" w:themeColor="text1"/>
        </w:rPr>
        <w:t>slik at mediene og andre kan drive uavhengig kontroll av dette.</w:t>
      </w:r>
    </w:p>
    <w:p w14:paraId="72444793" w14:textId="77777777" w:rsidR="00FF75E9" w:rsidRDefault="00FF75E9" w:rsidP="006043D5">
      <w:pPr>
        <w:rPr>
          <w:rStyle w:val="contentpasted0"/>
          <w:rFonts w:ascii="Aptos" w:hAnsi="Aptos"/>
          <w:color w:val="000000" w:themeColor="text1"/>
        </w:rPr>
      </w:pPr>
      <w:r w:rsidRPr="006043D5">
        <w:rPr>
          <w:rStyle w:val="contentpasted0"/>
          <w:rFonts w:ascii="Aptos" w:hAnsi="Aptos"/>
          <w:color w:val="000000" w:themeColor="text1"/>
        </w:rPr>
        <w:t xml:space="preserve">Til slutt vil vi minne om betydningen av at dette arbeidet ikke skjer isolert. Det må sees i sammenheng med andre prosesser innenfor digitalisering, som gjennomføring av åpne data-direktivet (2019/1024) og arbeid med ny datadelingslov, ny arkivlov og oppfølging av ytringsfrihetskommisjonens og personvernkommisjonens utredninger.  </w:t>
      </w:r>
    </w:p>
    <w:p w14:paraId="01DB24C3" w14:textId="77777777" w:rsidR="008D1435" w:rsidRDefault="008D1435" w:rsidP="006043D5">
      <w:pPr>
        <w:rPr>
          <w:rStyle w:val="contentpasted0"/>
          <w:rFonts w:ascii="Aptos" w:hAnsi="Aptos"/>
          <w:color w:val="000000" w:themeColor="text1"/>
        </w:rPr>
      </w:pPr>
    </w:p>
    <w:p w14:paraId="4A86918D" w14:textId="706307F4" w:rsidR="008D1435" w:rsidRDefault="00CD1A1E" w:rsidP="006043D5">
      <w:r>
        <w:t xml:space="preserve">Mvh </w:t>
      </w:r>
      <w:r>
        <w:br/>
      </w:r>
      <w:r>
        <w:br/>
        <w:t>For N</w:t>
      </w:r>
      <w:r w:rsidR="00AB081E">
        <w:t xml:space="preserve">orsk </w:t>
      </w:r>
      <w:r>
        <w:t>P</w:t>
      </w:r>
      <w:r w:rsidR="00AB081E">
        <w:t xml:space="preserve">resseforbund </w:t>
      </w:r>
      <w:r w:rsidR="00AB081E">
        <w:br/>
        <w:t xml:space="preserve">Elin Floberghagen </w:t>
      </w:r>
      <w:r w:rsidR="00AB081E">
        <w:br/>
        <w:t xml:space="preserve">generalsekretær </w:t>
      </w:r>
    </w:p>
    <w:p w14:paraId="4534A10C" w14:textId="77777777" w:rsidR="00CD1A1E" w:rsidRDefault="00CD1A1E" w:rsidP="006043D5"/>
    <w:p w14:paraId="6C540C08" w14:textId="3503DDDC" w:rsidR="00CD1A1E" w:rsidRPr="00AB081E" w:rsidRDefault="00CD1A1E" w:rsidP="006043D5">
      <w:pPr>
        <w:rPr>
          <w:rStyle w:val="contentpasted0"/>
        </w:rPr>
      </w:pPr>
      <w:r>
        <w:t>For N</w:t>
      </w:r>
      <w:r w:rsidR="00AB081E">
        <w:t xml:space="preserve">orsk </w:t>
      </w:r>
      <w:r>
        <w:t>R</w:t>
      </w:r>
      <w:r w:rsidR="00AB081E">
        <w:t xml:space="preserve">edaktørforening </w:t>
      </w:r>
      <w:r w:rsidR="00AB081E">
        <w:br/>
        <w:t>Reidun Kjelling Nybø</w:t>
      </w:r>
      <w:r w:rsidR="00AB081E">
        <w:br/>
        <w:t xml:space="preserve">Generalsekretær  </w:t>
      </w:r>
      <w:r w:rsidR="00AB081E">
        <w:br/>
      </w:r>
    </w:p>
    <w:sectPr w:rsidR="00CD1A1E" w:rsidRPr="00AB081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2118" w14:textId="77777777" w:rsidR="00562B54" w:rsidRDefault="00562B54" w:rsidP="00606361">
      <w:pPr>
        <w:spacing w:after="0" w:line="240" w:lineRule="auto"/>
      </w:pPr>
      <w:r>
        <w:separator/>
      </w:r>
    </w:p>
  </w:endnote>
  <w:endnote w:type="continuationSeparator" w:id="0">
    <w:p w14:paraId="100994C0" w14:textId="77777777" w:rsidR="00562B54" w:rsidRDefault="00562B54" w:rsidP="006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48115"/>
      <w:docPartObj>
        <w:docPartGallery w:val="Page Numbers (Bottom of Page)"/>
        <w:docPartUnique/>
      </w:docPartObj>
    </w:sdtPr>
    <w:sdtContent>
      <w:p w14:paraId="64248D77" w14:textId="00D81E9B" w:rsidR="00246BE2" w:rsidRDefault="00246BE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C861E" w14:textId="77777777" w:rsidR="00246BE2" w:rsidRDefault="00246B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A87" w14:textId="77777777" w:rsidR="00562B54" w:rsidRDefault="00562B54" w:rsidP="00606361">
      <w:pPr>
        <w:spacing w:after="0" w:line="240" w:lineRule="auto"/>
      </w:pPr>
      <w:r>
        <w:separator/>
      </w:r>
    </w:p>
  </w:footnote>
  <w:footnote w:type="continuationSeparator" w:id="0">
    <w:p w14:paraId="763718E0" w14:textId="77777777" w:rsidR="00562B54" w:rsidRDefault="00562B54" w:rsidP="00606361">
      <w:pPr>
        <w:spacing w:after="0" w:line="240" w:lineRule="auto"/>
      </w:pPr>
      <w:r>
        <w:continuationSeparator/>
      </w:r>
    </w:p>
  </w:footnote>
  <w:footnote w:id="1">
    <w:p w14:paraId="5296C4F0" w14:textId="77777777" w:rsidR="004F02C3" w:rsidRDefault="004F02C3" w:rsidP="004F02C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06361">
        <w:t>HR 2021-526-A avsnitt 40, Magyar Helsinki Bizottság v. Ungarn (18030/11, 8. november 2016, storkammer), avsnitt 148.</w:t>
      </w:r>
    </w:p>
  </w:footnote>
  <w:footnote w:id="2">
    <w:p w14:paraId="156A41DA" w14:textId="2E4DB619" w:rsidR="004F02C3" w:rsidRDefault="004F02C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4F02C3">
        <w:t>Europaparlaments- og rådsforordning (EU) 2016/679 av 27. april 2016 om vern av fysiske personer i forbindelse med behandling av personopplysninger og om fri utveksling av slike opplysninger samt om oppheving av direktiv 95/46/EF (generell personvernforordning) [GDPR]</w:t>
      </w:r>
      <w:r>
        <w:t xml:space="preserve"> artikkel 85</w:t>
      </w:r>
      <w:r w:rsidR="000B4B02">
        <w:t xml:space="preserve"> og 86. </w:t>
      </w:r>
      <w:r>
        <w:t xml:space="preserve"> </w:t>
      </w:r>
    </w:p>
  </w:footnote>
  <w:footnote w:id="3">
    <w:p w14:paraId="33D8FAB3" w14:textId="09B49681" w:rsidR="006543C4" w:rsidRDefault="006543C4">
      <w:pPr>
        <w:pStyle w:val="Fotnotetekst"/>
      </w:pPr>
      <w:r>
        <w:rPr>
          <w:rStyle w:val="Fotnotereferanse"/>
        </w:rPr>
        <w:footnoteRef/>
      </w:r>
      <w:r w:rsidR="00B30277">
        <w:t xml:space="preserve"> </w:t>
      </w:r>
      <w:r w:rsidR="00AB081E">
        <w:t xml:space="preserve">NOU </w:t>
      </w:r>
      <w:r w:rsidR="00B30277">
        <w:t>2022:9 kap</w:t>
      </w:r>
      <w:r w:rsidR="00AB081E">
        <w:t xml:space="preserve">. </w:t>
      </w:r>
      <w:r w:rsidR="00B30277">
        <w:t xml:space="preserve">7.10.2 </w:t>
      </w:r>
      <w:r w:rsidR="00725E78">
        <w:t xml:space="preserve">og </w:t>
      </w:r>
      <w:r w:rsidR="00AB081E">
        <w:t xml:space="preserve">NOU </w:t>
      </w:r>
      <w:r w:rsidR="00B30277">
        <w:t>2022:11</w:t>
      </w:r>
      <w:r w:rsidR="00AB081E">
        <w:t xml:space="preserve"> ka</w:t>
      </w:r>
      <w:r>
        <w:t>p</w:t>
      </w:r>
      <w:r w:rsidR="00AB081E">
        <w:t>.</w:t>
      </w:r>
      <w:r>
        <w:t xml:space="preserve"> 6.4.2.1. </w:t>
      </w:r>
    </w:p>
  </w:footnote>
  <w:footnote w:id="4">
    <w:p w14:paraId="5F77350C" w14:textId="4BEC0765" w:rsidR="00633D94" w:rsidRDefault="00633D9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5109C1">
        <w:t xml:space="preserve">NOU 2022:9 punkt 8.8.3 </w:t>
      </w:r>
    </w:p>
  </w:footnote>
  <w:footnote w:id="5">
    <w:p w14:paraId="68422EFE" w14:textId="24451EB2" w:rsidR="006F64DC" w:rsidRPr="006F64DC" w:rsidRDefault="006F64DC">
      <w:pPr>
        <w:pStyle w:val="Fotnotetekst"/>
        <w:rPr>
          <w:i/>
          <w:iCs/>
        </w:rPr>
      </w:pPr>
      <w:r>
        <w:rPr>
          <w:rStyle w:val="Fotnotereferanse"/>
        </w:rPr>
        <w:footnoteRef/>
      </w:r>
      <w:r>
        <w:t xml:space="preserve"> </w:t>
      </w:r>
      <w:r w:rsidRPr="006F64DC">
        <w:rPr>
          <w:i/>
          <w:iCs/>
        </w:rPr>
        <w:t>Digital Services Act: Hvordan sikre innsyn i de største plattformene og en norsk pådriverrolle</w:t>
      </w:r>
    </w:p>
  </w:footnote>
  <w:footnote w:id="6">
    <w:p w14:paraId="11BCEF1D" w14:textId="4E43F682" w:rsidR="00443E27" w:rsidRDefault="00443E27">
      <w:pPr>
        <w:pStyle w:val="Fotnotetekst"/>
      </w:pPr>
      <w:r>
        <w:rPr>
          <w:rStyle w:val="Fotnotereferanse"/>
        </w:rPr>
        <w:footnoteRef/>
      </w:r>
      <w:r>
        <w:t xml:space="preserve"> NOU 2022:9 punkt 9.9 </w:t>
      </w:r>
    </w:p>
  </w:footnote>
  <w:footnote w:id="7">
    <w:p w14:paraId="67E61672" w14:textId="7893ACB1" w:rsidR="00872DEF" w:rsidRPr="00872DEF" w:rsidRDefault="00872DEF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435CF3">
        <w:t xml:space="preserve"> Humprecht, E., Esser, F. og Van Aelst, P. (2020). </w:t>
      </w:r>
      <w:r w:rsidRPr="00872DEF">
        <w:rPr>
          <w:lang w:val="en-GB"/>
        </w:rPr>
        <w:t>Resilience to Online Disinformation: A Framework for Cross-National Comparative Research. </w:t>
      </w:r>
      <w:r w:rsidRPr="00872DEF">
        <w:rPr>
          <w:i/>
          <w:iCs/>
          <w:lang w:val="en-GB"/>
        </w:rPr>
        <w:t>The International Journal of Press/Politics Vol 25, Issue 3, 2020</w:t>
      </w:r>
      <w:r w:rsidRPr="00872DEF">
        <w:rPr>
          <w:lang w:val="en-GB"/>
        </w:rPr>
        <w:t xml:space="preserve">. </w:t>
      </w:r>
      <w:hyperlink r:id="rId1" w:history="1">
        <w:r w:rsidRPr="00424338">
          <w:rPr>
            <w:rStyle w:val="Hyperkobling"/>
            <w:lang w:val="en-GB"/>
          </w:rPr>
          <w:t>https://doi.org/10.1177/1940161219900126</w:t>
        </w:r>
      </w:hyperlink>
      <w:r>
        <w:rPr>
          <w:lang w:val="en-GB"/>
        </w:rPr>
        <w:t xml:space="preserve"> </w:t>
      </w:r>
    </w:p>
  </w:footnote>
  <w:footnote w:id="8">
    <w:p w14:paraId="5C751BAE" w14:textId="2F9F9B7C" w:rsidR="001D0048" w:rsidRDefault="001D004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CC1A69" w:rsidRPr="00CC1A69">
        <w:t>2022/4149</w:t>
      </w:r>
      <w:r w:rsidR="00EB74F4">
        <w:t xml:space="preserve"> (Politikerportal 1 og Politikerportal 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5DD5"/>
    <w:multiLevelType w:val="multilevel"/>
    <w:tmpl w:val="E4F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179AA"/>
    <w:multiLevelType w:val="hybridMultilevel"/>
    <w:tmpl w:val="0B483CCE"/>
    <w:lvl w:ilvl="0" w:tplc="88861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43240">
    <w:abstractNumId w:val="0"/>
  </w:num>
  <w:num w:numId="2" w16cid:durableId="83160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8C"/>
    <w:rsid w:val="0001700C"/>
    <w:rsid w:val="0002029E"/>
    <w:rsid w:val="000309D5"/>
    <w:rsid w:val="00035C8A"/>
    <w:rsid w:val="0005712C"/>
    <w:rsid w:val="00061DB4"/>
    <w:rsid w:val="00061F6D"/>
    <w:rsid w:val="000835D2"/>
    <w:rsid w:val="000852A0"/>
    <w:rsid w:val="0008746C"/>
    <w:rsid w:val="00087E55"/>
    <w:rsid w:val="000976AD"/>
    <w:rsid w:val="000B4B02"/>
    <w:rsid w:val="000C5718"/>
    <w:rsid w:val="000C7C69"/>
    <w:rsid w:val="000D1672"/>
    <w:rsid w:val="00102C9F"/>
    <w:rsid w:val="00107F81"/>
    <w:rsid w:val="001623C6"/>
    <w:rsid w:val="001667B9"/>
    <w:rsid w:val="001B1B82"/>
    <w:rsid w:val="001D0048"/>
    <w:rsid w:val="001D10A6"/>
    <w:rsid w:val="001D564C"/>
    <w:rsid w:val="001E0203"/>
    <w:rsid w:val="001E6DA5"/>
    <w:rsid w:val="002236C2"/>
    <w:rsid w:val="00246BE2"/>
    <w:rsid w:val="00277A0E"/>
    <w:rsid w:val="002C19DE"/>
    <w:rsid w:val="002D54E9"/>
    <w:rsid w:val="002D62A2"/>
    <w:rsid w:val="00300535"/>
    <w:rsid w:val="0034310D"/>
    <w:rsid w:val="00343BE9"/>
    <w:rsid w:val="00345140"/>
    <w:rsid w:val="00350CA0"/>
    <w:rsid w:val="00366E24"/>
    <w:rsid w:val="003701C1"/>
    <w:rsid w:val="00371C85"/>
    <w:rsid w:val="00377F33"/>
    <w:rsid w:val="003817A5"/>
    <w:rsid w:val="00396D63"/>
    <w:rsid w:val="003B5490"/>
    <w:rsid w:val="003E0F4D"/>
    <w:rsid w:val="003E1A55"/>
    <w:rsid w:val="003E1EF8"/>
    <w:rsid w:val="003F08E6"/>
    <w:rsid w:val="003F1425"/>
    <w:rsid w:val="004130CB"/>
    <w:rsid w:val="0042265E"/>
    <w:rsid w:val="004327CC"/>
    <w:rsid w:val="00433100"/>
    <w:rsid w:val="00435CF3"/>
    <w:rsid w:val="00443E27"/>
    <w:rsid w:val="00453B11"/>
    <w:rsid w:val="004705BD"/>
    <w:rsid w:val="00472B56"/>
    <w:rsid w:val="004815C4"/>
    <w:rsid w:val="00481CE5"/>
    <w:rsid w:val="0049042F"/>
    <w:rsid w:val="004A1C60"/>
    <w:rsid w:val="004A3447"/>
    <w:rsid w:val="004B0CCE"/>
    <w:rsid w:val="004B70E8"/>
    <w:rsid w:val="004C76FD"/>
    <w:rsid w:val="004D1D89"/>
    <w:rsid w:val="004D5B50"/>
    <w:rsid w:val="004E05E1"/>
    <w:rsid w:val="004E1C87"/>
    <w:rsid w:val="004F02C3"/>
    <w:rsid w:val="0050706B"/>
    <w:rsid w:val="005109C1"/>
    <w:rsid w:val="00530992"/>
    <w:rsid w:val="00562B54"/>
    <w:rsid w:val="00597059"/>
    <w:rsid w:val="005A0DD2"/>
    <w:rsid w:val="005B2378"/>
    <w:rsid w:val="005C15B5"/>
    <w:rsid w:val="005D1AFF"/>
    <w:rsid w:val="005D3A22"/>
    <w:rsid w:val="005F3B9E"/>
    <w:rsid w:val="006043D5"/>
    <w:rsid w:val="00606361"/>
    <w:rsid w:val="00615496"/>
    <w:rsid w:val="00633D94"/>
    <w:rsid w:val="00651F26"/>
    <w:rsid w:val="006543C4"/>
    <w:rsid w:val="00666678"/>
    <w:rsid w:val="00672F69"/>
    <w:rsid w:val="00675C04"/>
    <w:rsid w:val="00685266"/>
    <w:rsid w:val="006B0C31"/>
    <w:rsid w:val="006E79EB"/>
    <w:rsid w:val="006F64DC"/>
    <w:rsid w:val="007121E0"/>
    <w:rsid w:val="00715792"/>
    <w:rsid w:val="00721BE7"/>
    <w:rsid w:val="00725E78"/>
    <w:rsid w:val="0073263F"/>
    <w:rsid w:val="007500B3"/>
    <w:rsid w:val="0075177C"/>
    <w:rsid w:val="00757D0C"/>
    <w:rsid w:val="00776FC9"/>
    <w:rsid w:val="007771B7"/>
    <w:rsid w:val="007B3DE4"/>
    <w:rsid w:val="007D4760"/>
    <w:rsid w:val="007E2923"/>
    <w:rsid w:val="007E3F5F"/>
    <w:rsid w:val="007F14BC"/>
    <w:rsid w:val="0081172F"/>
    <w:rsid w:val="008141F1"/>
    <w:rsid w:val="00816402"/>
    <w:rsid w:val="00822781"/>
    <w:rsid w:val="0085670C"/>
    <w:rsid w:val="00872DEF"/>
    <w:rsid w:val="008B1543"/>
    <w:rsid w:val="008C29B5"/>
    <w:rsid w:val="008D1435"/>
    <w:rsid w:val="008D7397"/>
    <w:rsid w:val="008E0D75"/>
    <w:rsid w:val="008E0E90"/>
    <w:rsid w:val="008E4FF2"/>
    <w:rsid w:val="008F5745"/>
    <w:rsid w:val="0091425E"/>
    <w:rsid w:val="00922973"/>
    <w:rsid w:val="009836C1"/>
    <w:rsid w:val="0098585B"/>
    <w:rsid w:val="00993786"/>
    <w:rsid w:val="009A4593"/>
    <w:rsid w:val="009D7029"/>
    <w:rsid w:val="00A10E99"/>
    <w:rsid w:val="00A66E94"/>
    <w:rsid w:val="00AA5590"/>
    <w:rsid w:val="00AB081E"/>
    <w:rsid w:val="00AC0D93"/>
    <w:rsid w:val="00AC570D"/>
    <w:rsid w:val="00AD35D2"/>
    <w:rsid w:val="00AF7813"/>
    <w:rsid w:val="00B04965"/>
    <w:rsid w:val="00B105A8"/>
    <w:rsid w:val="00B30277"/>
    <w:rsid w:val="00B40D66"/>
    <w:rsid w:val="00B550BF"/>
    <w:rsid w:val="00B55698"/>
    <w:rsid w:val="00B66F6E"/>
    <w:rsid w:val="00B7469B"/>
    <w:rsid w:val="00B750B9"/>
    <w:rsid w:val="00B9311A"/>
    <w:rsid w:val="00B9649D"/>
    <w:rsid w:val="00BA56B6"/>
    <w:rsid w:val="00BD31F5"/>
    <w:rsid w:val="00C40802"/>
    <w:rsid w:val="00C451D8"/>
    <w:rsid w:val="00C50AFB"/>
    <w:rsid w:val="00C80588"/>
    <w:rsid w:val="00C91F94"/>
    <w:rsid w:val="00CA70BC"/>
    <w:rsid w:val="00CC13EF"/>
    <w:rsid w:val="00CC1A69"/>
    <w:rsid w:val="00CD1A1E"/>
    <w:rsid w:val="00CD40F0"/>
    <w:rsid w:val="00CD5592"/>
    <w:rsid w:val="00D25E4D"/>
    <w:rsid w:val="00D53583"/>
    <w:rsid w:val="00D614DD"/>
    <w:rsid w:val="00D63D3A"/>
    <w:rsid w:val="00D6616D"/>
    <w:rsid w:val="00D80B8A"/>
    <w:rsid w:val="00D841A1"/>
    <w:rsid w:val="00DA23D7"/>
    <w:rsid w:val="00DA6151"/>
    <w:rsid w:val="00DE42CF"/>
    <w:rsid w:val="00DF4C7F"/>
    <w:rsid w:val="00E024D1"/>
    <w:rsid w:val="00E43406"/>
    <w:rsid w:val="00E81A09"/>
    <w:rsid w:val="00E83EE1"/>
    <w:rsid w:val="00E93A3D"/>
    <w:rsid w:val="00EB4C5D"/>
    <w:rsid w:val="00EB6905"/>
    <w:rsid w:val="00EB74F4"/>
    <w:rsid w:val="00EC2082"/>
    <w:rsid w:val="00EE7D88"/>
    <w:rsid w:val="00EF32C8"/>
    <w:rsid w:val="00EF55E2"/>
    <w:rsid w:val="00F233C0"/>
    <w:rsid w:val="00F26A80"/>
    <w:rsid w:val="00F4555C"/>
    <w:rsid w:val="00F55F8C"/>
    <w:rsid w:val="00F85255"/>
    <w:rsid w:val="00FA258E"/>
    <w:rsid w:val="00FD2442"/>
    <w:rsid w:val="00FD4BB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2F0"/>
  <w15:chartTrackingRefBased/>
  <w15:docId w15:val="{098EEAA3-659B-41DC-8944-F60204AE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ontentpasted0">
    <w:name w:val="contentpasted0"/>
    <w:basedOn w:val="Standardskriftforavsnitt"/>
    <w:rsid w:val="00FF75E9"/>
  </w:style>
  <w:style w:type="paragraph" w:styleId="Listeavsnitt">
    <w:name w:val="List Paragraph"/>
    <w:basedOn w:val="Normal"/>
    <w:uiPriority w:val="34"/>
    <w:qFormat/>
    <w:rsid w:val="00FF75E9"/>
    <w:pPr>
      <w:spacing w:after="0" w:line="240" w:lineRule="auto"/>
      <w:ind w:left="720"/>
      <w:contextualSpacing/>
    </w:pPr>
    <w:rPr>
      <w:rFonts w:ascii="Calibri" w:hAnsi="Calibri" w:cs="Calibri"/>
      <w:kern w:val="0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0636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0636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06361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872DE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2DE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4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6BE2"/>
  </w:style>
  <w:style w:type="paragraph" w:styleId="Bunntekst">
    <w:name w:val="footer"/>
    <w:basedOn w:val="Normal"/>
    <w:link w:val="BunntekstTegn"/>
    <w:uiPriority w:val="99"/>
    <w:unhideWhenUsed/>
    <w:rsid w:val="0024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BE2"/>
  </w:style>
  <w:style w:type="paragraph" w:styleId="Revisjon">
    <w:name w:val="Revision"/>
    <w:hidden/>
    <w:uiPriority w:val="99"/>
    <w:semiHidden/>
    <w:rsid w:val="007E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77/19401612199001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D101176C7B14A93B878A0CF5BD6AA" ma:contentTypeVersion="17" ma:contentTypeDescription="Opprett et nytt dokument." ma:contentTypeScope="" ma:versionID="1de88b6563f4b121b0153ea14032ba43">
  <xsd:schema xmlns:xsd="http://www.w3.org/2001/XMLSchema" xmlns:xs="http://www.w3.org/2001/XMLSchema" xmlns:p="http://schemas.microsoft.com/office/2006/metadata/properties" xmlns:ns2="9239d375-5684-4558-8305-bf942c1ee5a3" xmlns:ns3="9972e77d-3384-483c-9e6a-577968abe292" targetNamespace="http://schemas.microsoft.com/office/2006/metadata/properties" ma:root="true" ma:fieldsID="deb952da5c4d52f9f466ea674d886b47" ns2:_="" ns3:_="">
    <xsd:import namespace="9239d375-5684-4558-8305-bf942c1ee5a3"/>
    <xsd:import namespace="9972e77d-3384-483c-9e6a-577968abe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d375-5684-4558-8305-bf942c1ee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5f73bcf-6997-43cc-a82d-08cf43aed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e77d-3384-483c-9e6a-577968abe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ee4cc9-d36f-417e-8fea-8f7feaef1590}" ma:internalName="TaxCatchAll" ma:showField="CatchAllData" ma:web="9972e77d-3384-483c-9e6a-577968abe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9d375-5684-4558-8305-bf942c1ee5a3">
      <Terms xmlns="http://schemas.microsoft.com/office/infopath/2007/PartnerControls"/>
    </lcf76f155ced4ddcb4097134ff3c332f>
    <TaxCatchAll xmlns="9972e77d-3384-483c-9e6a-577968abe292" xsi:nil="true"/>
  </documentManagement>
</p:properties>
</file>

<file path=customXml/itemProps1.xml><?xml version="1.0" encoding="utf-8"?>
<ds:datastoreItem xmlns:ds="http://schemas.openxmlformats.org/officeDocument/2006/customXml" ds:itemID="{157A8121-67EE-4C1B-B976-7440C2F8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d375-5684-4558-8305-bf942c1ee5a3"/>
    <ds:schemaRef ds:uri="9972e77d-3384-483c-9e6a-577968abe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5F62-D62E-4144-A42B-37D2B902A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50D5E-DADB-4876-AA22-493E696C5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D1478-76F7-4CC4-9138-4E115BD37ABC}">
  <ds:schemaRefs>
    <ds:schemaRef ds:uri="http://schemas.microsoft.com/office/2006/metadata/properties"/>
    <ds:schemaRef ds:uri="http://schemas.microsoft.com/office/infopath/2007/PartnerControls"/>
    <ds:schemaRef ds:uri="9239d375-5684-4558-8305-bf942c1ee5a3"/>
    <ds:schemaRef ds:uri="9972e77d-3384-483c-9e6a-577968abe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1451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Foss</dc:creator>
  <cp:keywords/>
  <dc:description/>
  <cp:lastModifiedBy>Reidun Kjelling Nybø</cp:lastModifiedBy>
  <cp:revision>2</cp:revision>
  <dcterms:created xsi:type="dcterms:W3CDTF">2023-12-08T10:35:00Z</dcterms:created>
  <dcterms:modified xsi:type="dcterms:W3CDTF">2023-12-08T10:35:00Z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0x010100A68D101176C7B14A93B878A0CF5BD6AA</vt:lpwstr>
  </property>
</Properties>
</file>