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20950" w14:textId="5ADAAD45" w:rsidR="00110214" w:rsidRPr="006B1804" w:rsidRDefault="00224031" w:rsidP="00DA28F7">
      <w:pPr>
        <w:pStyle w:val="Ingenmellomrom"/>
        <w:rPr>
          <w:rFonts w:cstheme="minorHAnsi"/>
          <w:sz w:val="52"/>
          <w:szCs w:val="52"/>
        </w:rPr>
      </w:pPr>
      <w:bookmarkStart w:id="0" w:name="_Hlk481237888"/>
      <w:bookmarkEnd w:id="0"/>
      <w:proofErr w:type="spellStart"/>
      <w:r w:rsidRPr="006B1804">
        <w:rPr>
          <w:rFonts w:cstheme="minorHAnsi"/>
          <w:sz w:val="52"/>
          <w:szCs w:val="52"/>
        </w:rPr>
        <w:t>M</w:t>
      </w:r>
      <w:r w:rsidR="0013373C" w:rsidRPr="006B1804">
        <w:rPr>
          <w:rFonts w:cstheme="minorHAnsi"/>
          <w:sz w:val="52"/>
          <w:szCs w:val="52"/>
        </w:rPr>
        <w:t>edieetisk</w:t>
      </w:r>
      <w:proofErr w:type="spellEnd"/>
      <w:r w:rsidR="0013373C" w:rsidRPr="006B1804">
        <w:rPr>
          <w:rFonts w:cstheme="minorHAnsi"/>
          <w:sz w:val="52"/>
          <w:szCs w:val="52"/>
        </w:rPr>
        <w:t xml:space="preserve"> rapport </w:t>
      </w:r>
      <w:r w:rsidR="003C4600" w:rsidRPr="006B1804">
        <w:rPr>
          <w:rFonts w:cstheme="minorHAnsi"/>
          <w:sz w:val="52"/>
          <w:szCs w:val="52"/>
        </w:rPr>
        <w:t xml:space="preserve">for </w:t>
      </w:r>
      <w:r w:rsidR="0013373C" w:rsidRPr="006B1804">
        <w:rPr>
          <w:rFonts w:cstheme="minorHAnsi"/>
          <w:sz w:val="52"/>
          <w:szCs w:val="52"/>
        </w:rPr>
        <w:t>201</w:t>
      </w:r>
      <w:r w:rsidR="00562A57">
        <w:rPr>
          <w:rFonts w:cstheme="minorHAnsi"/>
          <w:sz w:val="52"/>
          <w:szCs w:val="52"/>
        </w:rPr>
        <w:t>9 og 2020</w:t>
      </w:r>
    </w:p>
    <w:p w14:paraId="691C0BB7" w14:textId="77777777" w:rsidR="0013373C" w:rsidRPr="006B1804" w:rsidRDefault="00224031" w:rsidP="007253F2">
      <w:pPr>
        <w:spacing w:after="120"/>
        <w:rPr>
          <w:rFonts w:cstheme="minorHAnsi"/>
          <w:i/>
        </w:rPr>
      </w:pPr>
      <w:r w:rsidRPr="006B1804">
        <w:rPr>
          <w:rFonts w:cstheme="minorHAnsi"/>
          <w:i/>
        </w:rPr>
        <w:t xml:space="preserve">Av </w:t>
      </w:r>
      <w:r w:rsidR="004C119D" w:rsidRPr="006B1804">
        <w:rPr>
          <w:rFonts w:cstheme="minorHAnsi"/>
          <w:i/>
        </w:rPr>
        <w:t>Arne Jensen, generalsekretær</w:t>
      </w:r>
      <w:r w:rsidR="00312EE3" w:rsidRPr="006B1804">
        <w:rPr>
          <w:rFonts w:cstheme="minorHAnsi"/>
          <w:i/>
        </w:rPr>
        <w:t>, Norsk Redaktørforening</w:t>
      </w:r>
    </w:p>
    <w:p w14:paraId="7689B922" w14:textId="6244EEF3" w:rsidR="000F0782" w:rsidRPr="000F0782" w:rsidRDefault="00E50578" w:rsidP="007253F2">
      <w:pPr>
        <w:spacing w:after="120"/>
        <w:rPr>
          <w:rFonts w:cstheme="minorHAnsi"/>
          <w:b/>
        </w:rPr>
      </w:pPr>
      <w:r>
        <w:rPr>
          <w:rFonts w:cstheme="minorHAnsi"/>
          <w:b/>
        </w:rPr>
        <w:t>Antallet klager til PFU</w:t>
      </w:r>
      <w:r w:rsidR="0000688C">
        <w:rPr>
          <w:rFonts w:cstheme="minorHAnsi"/>
          <w:b/>
        </w:rPr>
        <w:t xml:space="preserve"> synes å ha</w:t>
      </w:r>
      <w:r>
        <w:rPr>
          <w:rFonts w:cstheme="minorHAnsi"/>
          <w:b/>
        </w:rPr>
        <w:t xml:space="preserve"> eksplodert</w:t>
      </w:r>
      <w:r w:rsidR="0000688C">
        <w:rPr>
          <w:rFonts w:cstheme="minorHAnsi"/>
          <w:b/>
        </w:rPr>
        <w:t xml:space="preserve"> de siste to årene. Det skyldes delvis en endring i registreringen av</w:t>
      </w:r>
      <w:r w:rsidR="00522BF6">
        <w:rPr>
          <w:rFonts w:cstheme="minorHAnsi"/>
          <w:b/>
        </w:rPr>
        <w:t xml:space="preserve"> saker, men ikke bare det.</w:t>
      </w:r>
      <w:r>
        <w:rPr>
          <w:rFonts w:cstheme="minorHAnsi"/>
          <w:b/>
        </w:rPr>
        <w:t xml:space="preserve"> </w:t>
      </w:r>
      <w:r w:rsidR="006811EF">
        <w:rPr>
          <w:rFonts w:cstheme="minorHAnsi"/>
          <w:b/>
        </w:rPr>
        <w:t>Og samtidig imøtegåelse er fortsatt den store presseetiske akilleshælen. Slik kan PFU-statistikken for 2019 og 2020 oppsummeres.</w:t>
      </w:r>
    </w:p>
    <w:p w14:paraId="1472D387" w14:textId="285C4DB7" w:rsidR="00050EE9" w:rsidRDefault="00514F90" w:rsidP="00050EE9">
      <w:pPr>
        <w:rPr>
          <w:rFonts w:cstheme="minorHAnsi"/>
        </w:rPr>
      </w:pPr>
      <w:r w:rsidRPr="006B1804">
        <w:rPr>
          <w:rFonts w:cstheme="minorHAnsi"/>
        </w:rPr>
        <w:t xml:space="preserve">Etter </w:t>
      </w:r>
      <w:r w:rsidR="006601D9">
        <w:rPr>
          <w:rFonts w:cstheme="minorHAnsi"/>
        </w:rPr>
        <w:t xml:space="preserve">at </w:t>
      </w:r>
      <w:r w:rsidR="006149CD">
        <w:rPr>
          <w:rFonts w:cstheme="minorHAnsi"/>
        </w:rPr>
        <w:t xml:space="preserve">antallet klager for første gang nådde 500 </w:t>
      </w:r>
      <w:r w:rsidRPr="006B1804">
        <w:rPr>
          <w:rFonts w:cstheme="minorHAnsi"/>
        </w:rPr>
        <w:t>i 2015 (500)</w:t>
      </w:r>
      <w:r w:rsidR="006149CD">
        <w:rPr>
          <w:rFonts w:cstheme="minorHAnsi"/>
        </w:rPr>
        <w:t xml:space="preserve">, vippet </w:t>
      </w:r>
      <w:r w:rsidR="0007718D">
        <w:rPr>
          <w:rFonts w:cstheme="minorHAnsi"/>
        </w:rPr>
        <w:t xml:space="preserve">tallet ned på 400-nivå igjen i de tre neste årene. I 2019 og 2020 har det imidlertid nærmest eksplodert. Fra </w:t>
      </w:r>
      <w:r w:rsidR="008F3F6D">
        <w:rPr>
          <w:rFonts w:cstheme="minorHAnsi"/>
        </w:rPr>
        <w:t xml:space="preserve">493 i 2018 til 575 i 2019 og så til hele 720 i 2020. </w:t>
      </w:r>
      <w:r w:rsidR="00312EE3" w:rsidRPr="006B1804">
        <w:rPr>
          <w:rFonts w:cstheme="minorHAnsi"/>
        </w:rPr>
        <w:t xml:space="preserve"> </w:t>
      </w:r>
      <w:r w:rsidR="00D27B56">
        <w:rPr>
          <w:rFonts w:cstheme="minorHAnsi"/>
        </w:rPr>
        <w:t>Dersom man sammenligner økningen i antallet klager (</w:t>
      </w:r>
      <w:r w:rsidR="00E8779E">
        <w:rPr>
          <w:rFonts w:cstheme="minorHAnsi"/>
        </w:rPr>
        <w:t>145 fra 2019 til 2020) med økningen i antallet avviste kl</w:t>
      </w:r>
      <w:r w:rsidR="00C0310B">
        <w:rPr>
          <w:rFonts w:cstheme="minorHAnsi"/>
        </w:rPr>
        <w:t xml:space="preserve">ager (116 fra 2019 til 2020), så kan vi altså konkludere med at en stor del av de «nye» klagene ikke fylte de formelle kravene til klagebehandling. </w:t>
      </w:r>
      <w:r w:rsidR="00050EE9">
        <w:rPr>
          <w:rFonts w:cstheme="minorHAnsi"/>
        </w:rPr>
        <w:t xml:space="preserve">De som studerer tabell 1 vil oppdage </w:t>
      </w:r>
      <w:r w:rsidR="00271196">
        <w:rPr>
          <w:rFonts w:cstheme="minorHAnsi"/>
        </w:rPr>
        <w:t xml:space="preserve">den første markante endringen for </w:t>
      </w:r>
      <w:r w:rsidR="00050EE9">
        <w:rPr>
          <w:rFonts w:cstheme="minorHAnsi"/>
        </w:rPr>
        <w:t>rubrikken «</w:t>
      </w:r>
      <w:r w:rsidR="006601D9">
        <w:rPr>
          <w:rFonts w:cstheme="minorHAnsi"/>
        </w:rPr>
        <w:t>a</w:t>
      </w:r>
      <w:r w:rsidR="00050EE9">
        <w:rPr>
          <w:rFonts w:cstheme="minorHAnsi"/>
        </w:rPr>
        <w:t xml:space="preserve">vvist/henlagt» </w:t>
      </w:r>
      <w:r w:rsidR="00271196">
        <w:rPr>
          <w:rFonts w:cstheme="minorHAnsi"/>
        </w:rPr>
        <w:t>kom fra 2017 til 2018</w:t>
      </w:r>
      <w:r w:rsidR="00050EE9">
        <w:rPr>
          <w:rFonts w:cstheme="minorHAnsi"/>
        </w:rPr>
        <w:t>. Det skyld</w:t>
      </w:r>
      <w:r w:rsidR="0060794D">
        <w:rPr>
          <w:rFonts w:cstheme="minorHAnsi"/>
        </w:rPr>
        <w:t>t</w:t>
      </w:r>
      <w:r w:rsidR="00050EE9">
        <w:rPr>
          <w:rFonts w:cstheme="minorHAnsi"/>
        </w:rPr>
        <w:t>es</w:t>
      </w:r>
      <w:r w:rsidR="0060794D">
        <w:rPr>
          <w:rFonts w:cstheme="minorHAnsi"/>
        </w:rPr>
        <w:t xml:space="preserve"> imidlertid at PFU-sekretariatet endret rutinene for</w:t>
      </w:r>
      <w:r w:rsidR="00050EE9">
        <w:rPr>
          <w:rFonts w:cstheme="minorHAnsi"/>
        </w:rPr>
        <w:t xml:space="preserve"> </w:t>
      </w:r>
      <w:r w:rsidR="00FD566F">
        <w:rPr>
          <w:rFonts w:cstheme="minorHAnsi"/>
        </w:rPr>
        <w:t>registrering av henlagte saker</w:t>
      </w:r>
      <w:r w:rsidR="00050EE9">
        <w:rPr>
          <w:rFonts w:cstheme="minorHAnsi"/>
        </w:rPr>
        <w:t>. Det</w:t>
      </w:r>
      <w:r w:rsidR="00FD566F">
        <w:rPr>
          <w:rFonts w:cstheme="minorHAnsi"/>
        </w:rPr>
        <w:t>te</w:t>
      </w:r>
      <w:r w:rsidR="00050EE9">
        <w:rPr>
          <w:rFonts w:cstheme="minorHAnsi"/>
        </w:rPr>
        <w:t xml:space="preserve"> dreier seg altså om klager som ikke oppfyller formelle krav eller som er ufullstendige og som</w:t>
      </w:r>
      <w:r w:rsidR="00522BF6">
        <w:rPr>
          <w:rFonts w:cstheme="minorHAnsi"/>
        </w:rPr>
        <w:t xml:space="preserve"> den gang heller </w:t>
      </w:r>
      <w:r w:rsidR="00050EE9">
        <w:rPr>
          <w:rFonts w:cstheme="minorHAnsi"/>
        </w:rPr>
        <w:t>ikke inng</w:t>
      </w:r>
      <w:r w:rsidR="00C15F5B">
        <w:rPr>
          <w:rFonts w:cstheme="minorHAnsi"/>
        </w:rPr>
        <w:t>ikk i totaltallet</w:t>
      </w:r>
      <w:r w:rsidR="00050EE9">
        <w:rPr>
          <w:rFonts w:cstheme="minorHAnsi"/>
        </w:rPr>
        <w:t xml:space="preserve"> på 493 innkomne klager eller i tallet 335 behandlede saker</w:t>
      </w:r>
      <w:r w:rsidR="00C15F5B">
        <w:rPr>
          <w:rFonts w:cstheme="minorHAnsi"/>
        </w:rPr>
        <w:t xml:space="preserve"> i 2018</w:t>
      </w:r>
      <w:r w:rsidR="00050EE9">
        <w:rPr>
          <w:rFonts w:cstheme="minorHAnsi"/>
        </w:rPr>
        <w:t xml:space="preserve">. </w:t>
      </w:r>
    </w:p>
    <w:p w14:paraId="14ACDFA5" w14:textId="3267B87E" w:rsidR="0058139A" w:rsidRDefault="0058139A" w:rsidP="00050EE9">
      <w:pPr>
        <w:rPr>
          <w:rFonts w:cstheme="minorHAnsi"/>
        </w:rPr>
      </w:pPr>
      <w:r>
        <w:rPr>
          <w:rFonts w:cstheme="minorHAnsi"/>
        </w:rPr>
        <w:t xml:space="preserve">Fra og med </w:t>
      </w:r>
      <w:r w:rsidR="006330A2">
        <w:rPr>
          <w:rFonts w:cstheme="minorHAnsi"/>
        </w:rPr>
        <w:t xml:space="preserve">2019 er imidlertid bildet annerledes. </w:t>
      </w:r>
      <w:r w:rsidR="004F7303">
        <w:rPr>
          <w:rFonts w:cstheme="minorHAnsi"/>
        </w:rPr>
        <w:t>Dermed får vi en klar økning i begge disse tallene, og sammenligningen med 2018 blir litt</w:t>
      </w:r>
      <w:r w:rsidR="000E1BA4">
        <w:rPr>
          <w:rFonts w:cstheme="minorHAnsi"/>
        </w:rPr>
        <w:t xml:space="preserve"> haltende. Fra 2019 til 2020 er imidlertid økningen </w:t>
      </w:r>
      <w:r w:rsidR="000158CD">
        <w:rPr>
          <w:rFonts w:cstheme="minorHAnsi"/>
        </w:rPr>
        <w:t xml:space="preserve">høyst reell. Det meste av økningen handler altså om saker som blir avvist, men </w:t>
      </w:r>
      <w:r w:rsidR="001C256F">
        <w:rPr>
          <w:rFonts w:cstheme="minorHAnsi"/>
        </w:rPr>
        <w:t xml:space="preserve">en viss økning i </w:t>
      </w:r>
      <w:r w:rsidR="00DC56DC">
        <w:rPr>
          <w:rFonts w:cstheme="minorHAnsi"/>
        </w:rPr>
        <w:t xml:space="preserve">antallet </w:t>
      </w:r>
      <w:r w:rsidR="001C256F">
        <w:rPr>
          <w:rFonts w:cstheme="minorHAnsi"/>
        </w:rPr>
        <w:t>saker som får en eller annen form for realitetsbehandling</w:t>
      </w:r>
      <w:r w:rsidR="006601D9">
        <w:rPr>
          <w:rFonts w:cstheme="minorHAnsi"/>
        </w:rPr>
        <w:t>,</w:t>
      </w:r>
      <w:r w:rsidR="001C256F">
        <w:rPr>
          <w:rFonts w:cstheme="minorHAnsi"/>
        </w:rPr>
        <w:t xml:space="preserve"> har det altså vært.</w:t>
      </w:r>
    </w:p>
    <w:p w14:paraId="6A2195D1" w14:textId="42CC0D7B" w:rsidR="001C256F" w:rsidRDefault="001C256F" w:rsidP="00DD3179">
      <w:pPr>
        <w:spacing w:after="120"/>
        <w:rPr>
          <w:rFonts w:cstheme="minorHAnsi"/>
        </w:rPr>
      </w:pPr>
      <w:r>
        <w:rPr>
          <w:rFonts w:cstheme="minorHAnsi"/>
        </w:rPr>
        <w:t xml:space="preserve">Den fullstendige oversikten over </w:t>
      </w:r>
      <w:r w:rsidR="009C2622">
        <w:rPr>
          <w:rFonts w:cstheme="minorHAnsi"/>
        </w:rPr>
        <w:t>hovedtallene i PFU-statistikken ser slik ut:</w:t>
      </w:r>
    </w:p>
    <w:tbl>
      <w:tblPr>
        <w:tblStyle w:val="Fargeriklisteuthevingsfarge5"/>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81"/>
        <w:gridCol w:w="581"/>
        <w:gridCol w:w="581"/>
        <w:gridCol w:w="610"/>
        <w:gridCol w:w="632"/>
        <w:gridCol w:w="581"/>
        <w:gridCol w:w="581"/>
        <w:gridCol w:w="581"/>
        <w:gridCol w:w="581"/>
        <w:gridCol w:w="581"/>
        <w:gridCol w:w="581"/>
        <w:gridCol w:w="581"/>
        <w:gridCol w:w="581"/>
      </w:tblGrid>
      <w:tr w:rsidR="00DE6B5A" w:rsidRPr="006B1804" w14:paraId="6979F547" w14:textId="38243D5A" w:rsidTr="00DE6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B1D8D77" w14:textId="4B6924AD" w:rsidR="00DE6B5A" w:rsidRPr="00153D05" w:rsidRDefault="00F63988" w:rsidP="00E77202">
            <w:pPr>
              <w:rPr>
                <w:rFonts w:cstheme="minorHAnsi"/>
                <w:b w:val="0"/>
                <w:bCs w:val="0"/>
                <w:noProof/>
                <w:sz w:val="20"/>
                <w:szCs w:val="20"/>
                <w:lang w:eastAsia="nb-NO"/>
              </w:rPr>
            </w:pPr>
            <w:r w:rsidRPr="006B1804">
              <w:rPr>
                <w:rFonts w:cstheme="minorHAnsi"/>
              </w:rPr>
              <w:t xml:space="preserve"> </w:t>
            </w:r>
          </w:p>
          <w:p w14:paraId="37C8F735" w14:textId="77777777" w:rsidR="00DE6B5A" w:rsidRPr="00153D05" w:rsidRDefault="00DE6B5A" w:rsidP="00E77202">
            <w:pPr>
              <w:rPr>
                <w:rFonts w:cstheme="minorHAnsi"/>
                <w:b w:val="0"/>
                <w:noProof/>
                <w:sz w:val="20"/>
                <w:szCs w:val="20"/>
                <w:lang w:eastAsia="nb-NO"/>
              </w:rPr>
            </w:pPr>
            <w:r w:rsidRPr="00153D05">
              <w:rPr>
                <w:rFonts w:cstheme="minorHAnsi"/>
                <w:noProof/>
                <w:sz w:val="20"/>
                <w:szCs w:val="20"/>
                <w:lang w:eastAsia="nb-NO"/>
              </w:rPr>
              <w:t xml:space="preserve">År  </w:t>
            </w:r>
          </w:p>
        </w:tc>
        <w:tc>
          <w:tcPr>
            <w:tcW w:w="581" w:type="dxa"/>
          </w:tcPr>
          <w:p w14:paraId="09BB86CE"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2008</w:t>
            </w:r>
          </w:p>
        </w:tc>
        <w:tc>
          <w:tcPr>
            <w:tcW w:w="581" w:type="dxa"/>
          </w:tcPr>
          <w:p w14:paraId="7A2F4434"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2009</w:t>
            </w:r>
          </w:p>
        </w:tc>
        <w:tc>
          <w:tcPr>
            <w:tcW w:w="581" w:type="dxa"/>
          </w:tcPr>
          <w:p w14:paraId="02588803"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2010</w:t>
            </w:r>
          </w:p>
        </w:tc>
        <w:tc>
          <w:tcPr>
            <w:tcW w:w="610" w:type="dxa"/>
          </w:tcPr>
          <w:p w14:paraId="19669E27"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2011</w:t>
            </w:r>
          </w:p>
        </w:tc>
        <w:tc>
          <w:tcPr>
            <w:tcW w:w="632" w:type="dxa"/>
          </w:tcPr>
          <w:p w14:paraId="10CE0774"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2012</w:t>
            </w:r>
          </w:p>
        </w:tc>
        <w:tc>
          <w:tcPr>
            <w:tcW w:w="581" w:type="dxa"/>
          </w:tcPr>
          <w:p w14:paraId="4B00A9FB"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3D05">
              <w:rPr>
                <w:rFonts w:ascii="Calibri" w:hAnsi="Calibri" w:cs="Calibri"/>
                <w:noProof/>
                <w:sz w:val="18"/>
                <w:szCs w:val="18"/>
                <w:lang w:eastAsia="nb-NO"/>
              </w:rPr>
              <w:t>2013</w:t>
            </w:r>
          </w:p>
        </w:tc>
        <w:tc>
          <w:tcPr>
            <w:tcW w:w="581" w:type="dxa"/>
          </w:tcPr>
          <w:p w14:paraId="7385EEE7"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3D05">
              <w:rPr>
                <w:rFonts w:ascii="Calibri" w:hAnsi="Calibri" w:cs="Calibri"/>
                <w:noProof/>
                <w:sz w:val="18"/>
                <w:szCs w:val="18"/>
                <w:lang w:eastAsia="nb-NO"/>
              </w:rPr>
              <w:t>2014</w:t>
            </w:r>
          </w:p>
        </w:tc>
        <w:tc>
          <w:tcPr>
            <w:tcW w:w="581" w:type="dxa"/>
          </w:tcPr>
          <w:p w14:paraId="742B0342"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3D05">
              <w:rPr>
                <w:rFonts w:ascii="Calibri" w:hAnsi="Calibri" w:cs="Calibri"/>
                <w:noProof/>
                <w:sz w:val="18"/>
                <w:szCs w:val="18"/>
                <w:lang w:eastAsia="nb-NO"/>
              </w:rPr>
              <w:t>2015</w:t>
            </w:r>
          </w:p>
        </w:tc>
        <w:tc>
          <w:tcPr>
            <w:tcW w:w="581" w:type="dxa"/>
          </w:tcPr>
          <w:p w14:paraId="3128F82F"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3D05">
              <w:rPr>
                <w:rFonts w:ascii="Calibri" w:hAnsi="Calibri" w:cs="Calibri"/>
                <w:noProof/>
                <w:sz w:val="18"/>
                <w:szCs w:val="18"/>
                <w:lang w:eastAsia="nb-NO"/>
              </w:rPr>
              <w:t>2016</w:t>
            </w:r>
          </w:p>
        </w:tc>
        <w:tc>
          <w:tcPr>
            <w:tcW w:w="581" w:type="dxa"/>
          </w:tcPr>
          <w:p w14:paraId="0BC5EAA2"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3D05">
              <w:rPr>
                <w:rFonts w:ascii="Calibri" w:hAnsi="Calibri" w:cs="Calibri"/>
                <w:noProof/>
                <w:sz w:val="18"/>
                <w:szCs w:val="18"/>
                <w:lang w:eastAsia="nb-NO"/>
              </w:rPr>
              <w:t>2017</w:t>
            </w:r>
          </w:p>
        </w:tc>
        <w:tc>
          <w:tcPr>
            <w:tcW w:w="581" w:type="dxa"/>
          </w:tcPr>
          <w:p w14:paraId="42C70E3C" w14:textId="77777777"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3D05">
              <w:rPr>
                <w:rFonts w:ascii="Calibri" w:hAnsi="Calibri" w:cs="Calibri"/>
                <w:noProof/>
                <w:sz w:val="18"/>
                <w:szCs w:val="18"/>
                <w:lang w:eastAsia="nb-NO"/>
              </w:rPr>
              <w:t>2018</w:t>
            </w:r>
          </w:p>
        </w:tc>
        <w:tc>
          <w:tcPr>
            <w:tcW w:w="581" w:type="dxa"/>
          </w:tcPr>
          <w:p w14:paraId="2109A7BB" w14:textId="5885B87A"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Pr>
                <w:rFonts w:ascii="Calibri" w:hAnsi="Calibri" w:cs="Calibri"/>
                <w:noProof/>
                <w:sz w:val="18"/>
                <w:szCs w:val="18"/>
                <w:lang w:eastAsia="nb-NO"/>
              </w:rPr>
              <w:t>2019</w:t>
            </w:r>
          </w:p>
        </w:tc>
        <w:tc>
          <w:tcPr>
            <w:tcW w:w="581" w:type="dxa"/>
          </w:tcPr>
          <w:p w14:paraId="61528108" w14:textId="4AFB54A6" w:rsidR="00DE6B5A" w:rsidRPr="00153D05" w:rsidRDefault="00DE6B5A" w:rsidP="00E772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Pr>
                <w:rFonts w:ascii="Calibri" w:hAnsi="Calibri" w:cs="Calibri"/>
                <w:noProof/>
                <w:sz w:val="18"/>
                <w:szCs w:val="18"/>
                <w:lang w:eastAsia="nb-NO"/>
              </w:rPr>
              <w:t>2020</w:t>
            </w:r>
          </w:p>
        </w:tc>
      </w:tr>
      <w:tr w:rsidR="00DE6B5A" w:rsidRPr="006B1804" w14:paraId="56211EAA" w14:textId="7C4E0554" w:rsidTr="00DE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6C38AB3" w14:textId="77777777" w:rsidR="00DE6B5A" w:rsidRPr="006B1804" w:rsidRDefault="00DE6B5A"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Innkomne klager</w:t>
            </w:r>
          </w:p>
        </w:tc>
        <w:tc>
          <w:tcPr>
            <w:tcW w:w="581" w:type="dxa"/>
          </w:tcPr>
          <w:p w14:paraId="3D71B569"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268</w:t>
            </w:r>
          </w:p>
        </w:tc>
        <w:tc>
          <w:tcPr>
            <w:tcW w:w="581" w:type="dxa"/>
          </w:tcPr>
          <w:p w14:paraId="4E495170"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292</w:t>
            </w:r>
          </w:p>
        </w:tc>
        <w:tc>
          <w:tcPr>
            <w:tcW w:w="581" w:type="dxa"/>
          </w:tcPr>
          <w:p w14:paraId="6DC61CC9"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284</w:t>
            </w:r>
          </w:p>
        </w:tc>
        <w:tc>
          <w:tcPr>
            <w:tcW w:w="610" w:type="dxa"/>
          </w:tcPr>
          <w:p w14:paraId="644B48D2"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354</w:t>
            </w:r>
          </w:p>
        </w:tc>
        <w:tc>
          <w:tcPr>
            <w:tcW w:w="632" w:type="dxa"/>
          </w:tcPr>
          <w:p w14:paraId="37359F98"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357</w:t>
            </w:r>
          </w:p>
        </w:tc>
        <w:tc>
          <w:tcPr>
            <w:tcW w:w="581" w:type="dxa"/>
          </w:tcPr>
          <w:p w14:paraId="1F385500"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377</w:t>
            </w:r>
          </w:p>
        </w:tc>
        <w:tc>
          <w:tcPr>
            <w:tcW w:w="581" w:type="dxa"/>
          </w:tcPr>
          <w:p w14:paraId="4F219F1D"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427</w:t>
            </w:r>
          </w:p>
        </w:tc>
        <w:tc>
          <w:tcPr>
            <w:tcW w:w="581" w:type="dxa"/>
          </w:tcPr>
          <w:p w14:paraId="57E20BA0"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500</w:t>
            </w:r>
          </w:p>
        </w:tc>
        <w:tc>
          <w:tcPr>
            <w:tcW w:w="581" w:type="dxa"/>
          </w:tcPr>
          <w:p w14:paraId="15E4EF24"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424</w:t>
            </w:r>
          </w:p>
        </w:tc>
        <w:tc>
          <w:tcPr>
            <w:tcW w:w="581" w:type="dxa"/>
          </w:tcPr>
          <w:p w14:paraId="0AB6EEC8"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417</w:t>
            </w:r>
          </w:p>
        </w:tc>
        <w:tc>
          <w:tcPr>
            <w:tcW w:w="581" w:type="dxa"/>
          </w:tcPr>
          <w:p w14:paraId="26F312B3"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493</w:t>
            </w:r>
          </w:p>
        </w:tc>
        <w:tc>
          <w:tcPr>
            <w:tcW w:w="581" w:type="dxa"/>
          </w:tcPr>
          <w:p w14:paraId="406712CB" w14:textId="37983D13" w:rsidR="00DE6B5A" w:rsidRDefault="006A4669"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575</w:t>
            </w:r>
          </w:p>
        </w:tc>
        <w:tc>
          <w:tcPr>
            <w:tcW w:w="581" w:type="dxa"/>
          </w:tcPr>
          <w:p w14:paraId="582F5FED" w14:textId="00BB4830" w:rsidR="00DE6B5A" w:rsidRDefault="00E26505"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720</w:t>
            </w:r>
          </w:p>
        </w:tc>
      </w:tr>
      <w:tr w:rsidR="00DE6B5A" w:rsidRPr="006B1804" w14:paraId="60D1A34E" w14:textId="4C0FD6FF" w:rsidTr="00DE6B5A">
        <w:tc>
          <w:tcPr>
            <w:cnfStyle w:val="001000000000" w:firstRow="0" w:lastRow="0" w:firstColumn="1" w:lastColumn="0" w:oddVBand="0" w:evenVBand="0" w:oddHBand="0" w:evenHBand="0" w:firstRowFirstColumn="0" w:firstRowLastColumn="0" w:lastRowFirstColumn="0" w:lastRowLastColumn="0"/>
            <w:tcW w:w="1413" w:type="dxa"/>
          </w:tcPr>
          <w:p w14:paraId="4FA23E18" w14:textId="77777777" w:rsidR="00DE6B5A" w:rsidRPr="006B1804" w:rsidRDefault="00DE6B5A"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Behandlet</w:t>
            </w:r>
          </w:p>
        </w:tc>
        <w:tc>
          <w:tcPr>
            <w:tcW w:w="581" w:type="dxa"/>
          </w:tcPr>
          <w:p w14:paraId="0C55AFC2"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277</w:t>
            </w:r>
          </w:p>
        </w:tc>
        <w:tc>
          <w:tcPr>
            <w:tcW w:w="581" w:type="dxa"/>
          </w:tcPr>
          <w:p w14:paraId="4E445DBF"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285</w:t>
            </w:r>
          </w:p>
        </w:tc>
        <w:tc>
          <w:tcPr>
            <w:tcW w:w="581" w:type="dxa"/>
          </w:tcPr>
          <w:p w14:paraId="2FCD5209"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291</w:t>
            </w:r>
          </w:p>
        </w:tc>
        <w:tc>
          <w:tcPr>
            <w:tcW w:w="610" w:type="dxa"/>
          </w:tcPr>
          <w:p w14:paraId="72D10174"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339</w:t>
            </w:r>
          </w:p>
        </w:tc>
        <w:tc>
          <w:tcPr>
            <w:tcW w:w="632" w:type="dxa"/>
          </w:tcPr>
          <w:p w14:paraId="5731A557"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374</w:t>
            </w:r>
          </w:p>
        </w:tc>
        <w:tc>
          <w:tcPr>
            <w:tcW w:w="581" w:type="dxa"/>
          </w:tcPr>
          <w:p w14:paraId="26A0F185"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364</w:t>
            </w:r>
          </w:p>
        </w:tc>
        <w:tc>
          <w:tcPr>
            <w:tcW w:w="581" w:type="dxa"/>
          </w:tcPr>
          <w:p w14:paraId="075E38E9"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406</w:t>
            </w:r>
          </w:p>
        </w:tc>
        <w:tc>
          <w:tcPr>
            <w:tcW w:w="581" w:type="dxa"/>
          </w:tcPr>
          <w:p w14:paraId="44BA01F5"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406</w:t>
            </w:r>
          </w:p>
        </w:tc>
        <w:tc>
          <w:tcPr>
            <w:tcW w:w="581" w:type="dxa"/>
          </w:tcPr>
          <w:p w14:paraId="2EEA0080"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351</w:t>
            </w:r>
          </w:p>
        </w:tc>
        <w:tc>
          <w:tcPr>
            <w:tcW w:w="581" w:type="dxa"/>
          </w:tcPr>
          <w:p w14:paraId="622208F0"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280</w:t>
            </w:r>
          </w:p>
        </w:tc>
        <w:tc>
          <w:tcPr>
            <w:tcW w:w="581" w:type="dxa"/>
          </w:tcPr>
          <w:p w14:paraId="4EBDC23E"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335</w:t>
            </w:r>
          </w:p>
        </w:tc>
        <w:tc>
          <w:tcPr>
            <w:tcW w:w="581" w:type="dxa"/>
          </w:tcPr>
          <w:p w14:paraId="01909390" w14:textId="0A815B0F" w:rsidR="00DE6B5A" w:rsidRDefault="006A4669"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263</w:t>
            </w:r>
          </w:p>
        </w:tc>
        <w:tc>
          <w:tcPr>
            <w:tcW w:w="581" w:type="dxa"/>
          </w:tcPr>
          <w:p w14:paraId="16B7D5BF" w14:textId="39651EB2" w:rsidR="00DE6B5A" w:rsidRDefault="00E26505"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251</w:t>
            </w:r>
          </w:p>
        </w:tc>
      </w:tr>
      <w:tr w:rsidR="00DE6B5A" w:rsidRPr="006B1804" w14:paraId="36AB5ED7" w14:textId="078BF7A8" w:rsidTr="00DE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72DEEB" w14:textId="77777777" w:rsidR="00DE6B5A" w:rsidRPr="006B1804" w:rsidRDefault="00DE6B5A"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Antall uttalelser</w:t>
            </w:r>
          </w:p>
        </w:tc>
        <w:tc>
          <w:tcPr>
            <w:tcW w:w="581" w:type="dxa"/>
          </w:tcPr>
          <w:p w14:paraId="69C589FA"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130</w:t>
            </w:r>
          </w:p>
        </w:tc>
        <w:tc>
          <w:tcPr>
            <w:tcW w:w="581" w:type="dxa"/>
          </w:tcPr>
          <w:p w14:paraId="5A4B33EE"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129</w:t>
            </w:r>
          </w:p>
        </w:tc>
        <w:tc>
          <w:tcPr>
            <w:tcW w:w="581" w:type="dxa"/>
          </w:tcPr>
          <w:p w14:paraId="121411D2"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145</w:t>
            </w:r>
          </w:p>
        </w:tc>
        <w:tc>
          <w:tcPr>
            <w:tcW w:w="610" w:type="dxa"/>
          </w:tcPr>
          <w:p w14:paraId="26FC6F65"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151</w:t>
            </w:r>
          </w:p>
        </w:tc>
        <w:tc>
          <w:tcPr>
            <w:tcW w:w="632" w:type="dxa"/>
          </w:tcPr>
          <w:p w14:paraId="3D4A41D2"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148</w:t>
            </w:r>
          </w:p>
        </w:tc>
        <w:tc>
          <w:tcPr>
            <w:tcW w:w="581" w:type="dxa"/>
          </w:tcPr>
          <w:p w14:paraId="64CBDDBE"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142</w:t>
            </w:r>
          </w:p>
        </w:tc>
        <w:tc>
          <w:tcPr>
            <w:tcW w:w="581" w:type="dxa"/>
          </w:tcPr>
          <w:p w14:paraId="7C06B4A9"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131</w:t>
            </w:r>
          </w:p>
        </w:tc>
        <w:tc>
          <w:tcPr>
            <w:tcW w:w="581" w:type="dxa"/>
          </w:tcPr>
          <w:p w14:paraId="284DB427"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142</w:t>
            </w:r>
          </w:p>
        </w:tc>
        <w:tc>
          <w:tcPr>
            <w:tcW w:w="581" w:type="dxa"/>
          </w:tcPr>
          <w:p w14:paraId="48050047"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124</w:t>
            </w:r>
          </w:p>
        </w:tc>
        <w:tc>
          <w:tcPr>
            <w:tcW w:w="581" w:type="dxa"/>
          </w:tcPr>
          <w:p w14:paraId="02E881E8"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104</w:t>
            </w:r>
          </w:p>
        </w:tc>
        <w:tc>
          <w:tcPr>
            <w:tcW w:w="581" w:type="dxa"/>
          </w:tcPr>
          <w:p w14:paraId="2CCC5A27"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122</w:t>
            </w:r>
          </w:p>
        </w:tc>
        <w:tc>
          <w:tcPr>
            <w:tcW w:w="581" w:type="dxa"/>
          </w:tcPr>
          <w:p w14:paraId="0A290864" w14:textId="7DB9EBE6" w:rsidR="00DE6B5A" w:rsidRDefault="006A4669"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100</w:t>
            </w:r>
          </w:p>
        </w:tc>
        <w:tc>
          <w:tcPr>
            <w:tcW w:w="581" w:type="dxa"/>
          </w:tcPr>
          <w:p w14:paraId="1FA89118" w14:textId="0EE5498E" w:rsidR="00DE6B5A" w:rsidRDefault="00E26505"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121</w:t>
            </w:r>
            <w:r w:rsidR="004D2F20">
              <w:rPr>
                <w:rStyle w:val="Fotnotereferanse"/>
                <w:rFonts w:ascii="Calibri" w:hAnsi="Calibri" w:cs="Calibri"/>
                <w:noProof/>
                <w:color w:val="000000"/>
                <w:sz w:val="18"/>
                <w:szCs w:val="18"/>
                <w:lang w:eastAsia="nb-NO"/>
              </w:rPr>
              <w:footnoteReference w:id="2"/>
            </w:r>
          </w:p>
        </w:tc>
      </w:tr>
      <w:tr w:rsidR="00DE6B5A" w:rsidRPr="006B1804" w14:paraId="0C00F6BA" w14:textId="27AC48F5" w:rsidTr="00DE6B5A">
        <w:tc>
          <w:tcPr>
            <w:cnfStyle w:val="001000000000" w:firstRow="0" w:lastRow="0" w:firstColumn="1" w:lastColumn="0" w:oddVBand="0" w:evenVBand="0" w:oddHBand="0" w:evenHBand="0" w:firstRowFirstColumn="0" w:firstRowLastColumn="0" w:lastRowFirstColumn="0" w:lastRowLastColumn="0"/>
            <w:tcW w:w="1413" w:type="dxa"/>
          </w:tcPr>
          <w:p w14:paraId="67623253" w14:textId="77777777" w:rsidR="00DE6B5A" w:rsidRPr="006B1804" w:rsidRDefault="00DE6B5A"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BRUDD</w:t>
            </w:r>
          </w:p>
        </w:tc>
        <w:tc>
          <w:tcPr>
            <w:tcW w:w="581" w:type="dxa"/>
          </w:tcPr>
          <w:p w14:paraId="13E7E41F"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57</w:t>
            </w:r>
          </w:p>
        </w:tc>
        <w:tc>
          <w:tcPr>
            <w:tcW w:w="581" w:type="dxa"/>
          </w:tcPr>
          <w:p w14:paraId="42274098"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51</w:t>
            </w:r>
          </w:p>
        </w:tc>
        <w:tc>
          <w:tcPr>
            <w:tcW w:w="581" w:type="dxa"/>
          </w:tcPr>
          <w:p w14:paraId="76E5DE0F"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50</w:t>
            </w:r>
          </w:p>
        </w:tc>
        <w:tc>
          <w:tcPr>
            <w:tcW w:w="610" w:type="dxa"/>
          </w:tcPr>
          <w:p w14:paraId="6B84D34B"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57</w:t>
            </w:r>
          </w:p>
        </w:tc>
        <w:tc>
          <w:tcPr>
            <w:tcW w:w="632" w:type="dxa"/>
          </w:tcPr>
          <w:p w14:paraId="61AAC92C"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62</w:t>
            </w:r>
          </w:p>
        </w:tc>
        <w:tc>
          <w:tcPr>
            <w:tcW w:w="581" w:type="dxa"/>
          </w:tcPr>
          <w:p w14:paraId="6FF49099"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64</w:t>
            </w:r>
          </w:p>
        </w:tc>
        <w:tc>
          <w:tcPr>
            <w:tcW w:w="581" w:type="dxa"/>
          </w:tcPr>
          <w:p w14:paraId="145C21D7"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46</w:t>
            </w:r>
          </w:p>
        </w:tc>
        <w:tc>
          <w:tcPr>
            <w:tcW w:w="581" w:type="dxa"/>
          </w:tcPr>
          <w:p w14:paraId="2D8AEA15"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65</w:t>
            </w:r>
          </w:p>
        </w:tc>
        <w:tc>
          <w:tcPr>
            <w:tcW w:w="581" w:type="dxa"/>
          </w:tcPr>
          <w:p w14:paraId="4542EB37"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49</w:t>
            </w:r>
          </w:p>
        </w:tc>
        <w:tc>
          <w:tcPr>
            <w:tcW w:w="581" w:type="dxa"/>
          </w:tcPr>
          <w:p w14:paraId="334670AD"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49</w:t>
            </w:r>
          </w:p>
        </w:tc>
        <w:tc>
          <w:tcPr>
            <w:tcW w:w="581" w:type="dxa"/>
          </w:tcPr>
          <w:p w14:paraId="305D7291"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45</w:t>
            </w:r>
          </w:p>
        </w:tc>
        <w:tc>
          <w:tcPr>
            <w:tcW w:w="581" w:type="dxa"/>
          </w:tcPr>
          <w:p w14:paraId="51D86AAE" w14:textId="015E5FA7" w:rsidR="00DE6B5A" w:rsidRDefault="00AB1F1D"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37</w:t>
            </w:r>
          </w:p>
        </w:tc>
        <w:tc>
          <w:tcPr>
            <w:tcW w:w="581" w:type="dxa"/>
          </w:tcPr>
          <w:p w14:paraId="1777A18B" w14:textId="26FE28AD" w:rsidR="00DE6B5A" w:rsidRDefault="00E26505"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36</w:t>
            </w:r>
          </w:p>
        </w:tc>
      </w:tr>
      <w:tr w:rsidR="00DE6B5A" w:rsidRPr="006B1804" w14:paraId="5C184DC5" w14:textId="4C3F28C2" w:rsidTr="00DE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C05ED14" w14:textId="77777777" w:rsidR="00DE6B5A" w:rsidRPr="006B1804" w:rsidRDefault="00DE6B5A"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KRITIKK</w:t>
            </w:r>
          </w:p>
        </w:tc>
        <w:tc>
          <w:tcPr>
            <w:tcW w:w="581" w:type="dxa"/>
          </w:tcPr>
          <w:p w14:paraId="14B3B617"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w:t>
            </w:r>
          </w:p>
        </w:tc>
        <w:tc>
          <w:tcPr>
            <w:tcW w:w="581" w:type="dxa"/>
          </w:tcPr>
          <w:p w14:paraId="4D5D5703"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10</w:t>
            </w:r>
          </w:p>
        </w:tc>
        <w:tc>
          <w:tcPr>
            <w:tcW w:w="581" w:type="dxa"/>
          </w:tcPr>
          <w:p w14:paraId="10DFF2F2"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13</w:t>
            </w:r>
          </w:p>
        </w:tc>
        <w:tc>
          <w:tcPr>
            <w:tcW w:w="610" w:type="dxa"/>
          </w:tcPr>
          <w:p w14:paraId="7A77F41E"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10</w:t>
            </w:r>
          </w:p>
        </w:tc>
        <w:tc>
          <w:tcPr>
            <w:tcW w:w="632" w:type="dxa"/>
          </w:tcPr>
          <w:p w14:paraId="66DD2AAB"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9</w:t>
            </w:r>
          </w:p>
        </w:tc>
        <w:tc>
          <w:tcPr>
            <w:tcW w:w="581" w:type="dxa"/>
          </w:tcPr>
          <w:p w14:paraId="4DBAC10E"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w:t>
            </w:r>
          </w:p>
        </w:tc>
        <w:tc>
          <w:tcPr>
            <w:tcW w:w="581" w:type="dxa"/>
          </w:tcPr>
          <w:p w14:paraId="108D1540"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w:t>
            </w:r>
          </w:p>
        </w:tc>
        <w:tc>
          <w:tcPr>
            <w:tcW w:w="581" w:type="dxa"/>
          </w:tcPr>
          <w:p w14:paraId="0F74DF97"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18</w:t>
            </w:r>
          </w:p>
        </w:tc>
        <w:tc>
          <w:tcPr>
            <w:tcW w:w="581" w:type="dxa"/>
          </w:tcPr>
          <w:p w14:paraId="11B26532"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16</w:t>
            </w:r>
          </w:p>
        </w:tc>
        <w:tc>
          <w:tcPr>
            <w:tcW w:w="581" w:type="dxa"/>
          </w:tcPr>
          <w:p w14:paraId="03E0F1A1"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18</w:t>
            </w:r>
          </w:p>
        </w:tc>
        <w:tc>
          <w:tcPr>
            <w:tcW w:w="581" w:type="dxa"/>
          </w:tcPr>
          <w:p w14:paraId="67A26562"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24</w:t>
            </w:r>
          </w:p>
        </w:tc>
        <w:tc>
          <w:tcPr>
            <w:tcW w:w="581" w:type="dxa"/>
          </w:tcPr>
          <w:p w14:paraId="0944E707" w14:textId="2FB8BBF9" w:rsidR="00DE6B5A" w:rsidRDefault="00AB1F1D"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14</w:t>
            </w:r>
          </w:p>
        </w:tc>
        <w:tc>
          <w:tcPr>
            <w:tcW w:w="581" w:type="dxa"/>
          </w:tcPr>
          <w:p w14:paraId="2E0B7B49" w14:textId="312C4E3C" w:rsidR="00DE6B5A" w:rsidRDefault="00E26505"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20</w:t>
            </w:r>
          </w:p>
        </w:tc>
      </w:tr>
      <w:tr w:rsidR="00DE6B5A" w:rsidRPr="006B1804" w14:paraId="2F7FE642" w14:textId="0CC1EC0B" w:rsidTr="00DE6B5A">
        <w:tc>
          <w:tcPr>
            <w:cnfStyle w:val="001000000000" w:firstRow="0" w:lastRow="0" w:firstColumn="1" w:lastColumn="0" w:oddVBand="0" w:evenVBand="0" w:oddHBand="0" w:evenHBand="0" w:firstRowFirstColumn="0" w:firstRowLastColumn="0" w:lastRowFirstColumn="0" w:lastRowLastColumn="0"/>
            <w:tcW w:w="1413" w:type="dxa"/>
          </w:tcPr>
          <w:p w14:paraId="2B6C715C" w14:textId="77777777" w:rsidR="00DE6B5A" w:rsidRPr="006B1804" w:rsidRDefault="00DE6B5A"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IKKE BRUDD</w:t>
            </w:r>
          </w:p>
        </w:tc>
        <w:tc>
          <w:tcPr>
            <w:tcW w:w="581" w:type="dxa"/>
          </w:tcPr>
          <w:p w14:paraId="5C58894D"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70</w:t>
            </w:r>
          </w:p>
        </w:tc>
        <w:tc>
          <w:tcPr>
            <w:tcW w:w="581" w:type="dxa"/>
          </w:tcPr>
          <w:p w14:paraId="4B983938"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68</w:t>
            </w:r>
          </w:p>
        </w:tc>
        <w:tc>
          <w:tcPr>
            <w:tcW w:w="581" w:type="dxa"/>
          </w:tcPr>
          <w:p w14:paraId="29D808EA"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82</w:t>
            </w:r>
          </w:p>
        </w:tc>
        <w:tc>
          <w:tcPr>
            <w:tcW w:w="610" w:type="dxa"/>
          </w:tcPr>
          <w:p w14:paraId="5FDABE3D"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84</w:t>
            </w:r>
          </w:p>
        </w:tc>
        <w:tc>
          <w:tcPr>
            <w:tcW w:w="632" w:type="dxa"/>
          </w:tcPr>
          <w:p w14:paraId="65C12411"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77</w:t>
            </w:r>
          </w:p>
        </w:tc>
        <w:tc>
          <w:tcPr>
            <w:tcW w:w="581" w:type="dxa"/>
          </w:tcPr>
          <w:p w14:paraId="3D918E52"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70</w:t>
            </w:r>
          </w:p>
        </w:tc>
        <w:tc>
          <w:tcPr>
            <w:tcW w:w="581" w:type="dxa"/>
          </w:tcPr>
          <w:p w14:paraId="140DBA15"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78</w:t>
            </w:r>
          </w:p>
        </w:tc>
        <w:tc>
          <w:tcPr>
            <w:tcW w:w="581" w:type="dxa"/>
          </w:tcPr>
          <w:p w14:paraId="6DA86662"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59</w:t>
            </w:r>
          </w:p>
        </w:tc>
        <w:tc>
          <w:tcPr>
            <w:tcW w:w="581" w:type="dxa"/>
          </w:tcPr>
          <w:p w14:paraId="706CA4A0"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59</w:t>
            </w:r>
          </w:p>
        </w:tc>
        <w:tc>
          <w:tcPr>
            <w:tcW w:w="581" w:type="dxa"/>
          </w:tcPr>
          <w:p w14:paraId="12F4850A"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37</w:t>
            </w:r>
          </w:p>
        </w:tc>
        <w:tc>
          <w:tcPr>
            <w:tcW w:w="581" w:type="dxa"/>
          </w:tcPr>
          <w:p w14:paraId="49A08E4C"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53</w:t>
            </w:r>
          </w:p>
        </w:tc>
        <w:tc>
          <w:tcPr>
            <w:tcW w:w="581" w:type="dxa"/>
          </w:tcPr>
          <w:p w14:paraId="1BB1D8B6" w14:textId="4A729F34" w:rsidR="00DE6B5A" w:rsidRDefault="00AB1F1D"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49</w:t>
            </w:r>
          </w:p>
        </w:tc>
        <w:tc>
          <w:tcPr>
            <w:tcW w:w="581" w:type="dxa"/>
          </w:tcPr>
          <w:p w14:paraId="06891926" w14:textId="005CC7AC" w:rsidR="00DE6B5A" w:rsidRDefault="009A14A6"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67</w:t>
            </w:r>
          </w:p>
        </w:tc>
      </w:tr>
      <w:tr w:rsidR="00DE6B5A" w:rsidRPr="006B1804" w14:paraId="67986B45" w14:textId="0FF788E7" w:rsidTr="00DE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8B133FD" w14:textId="77777777" w:rsidR="00DE6B5A" w:rsidRPr="006B1804" w:rsidRDefault="00DE6B5A"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Forenklet ”fri”</w:t>
            </w:r>
          </w:p>
        </w:tc>
        <w:tc>
          <w:tcPr>
            <w:tcW w:w="581" w:type="dxa"/>
          </w:tcPr>
          <w:p w14:paraId="45565E34"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71</w:t>
            </w:r>
          </w:p>
        </w:tc>
        <w:tc>
          <w:tcPr>
            <w:tcW w:w="581" w:type="dxa"/>
          </w:tcPr>
          <w:p w14:paraId="1D68C3FD"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77</w:t>
            </w:r>
          </w:p>
        </w:tc>
        <w:tc>
          <w:tcPr>
            <w:tcW w:w="581" w:type="dxa"/>
          </w:tcPr>
          <w:p w14:paraId="5733853E"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67</w:t>
            </w:r>
          </w:p>
        </w:tc>
        <w:tc>
          <w:tcPr>
            <w:tcW w:w="610" w:type="dxa"/>
          </w:tcPr>
          <w:p w14:paraId="6E8B8E89"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109</w:t>
            </w:r>
          </w:p>
        </w:tc>
        <w:tc>
          <w:tcPr>
            <w:tcW w:w="632" w:type="dxa"/>
          </w:tcPr>
          <w:p w14:paraId="7AE81700"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117</w:t>
            </w:r>
          </w:p>
        </w:tc>
        <w:tc>
          <w:tcPr>
            <w:tcW w:w="581" w:type="dxa"/>
          </w:tcPr>
          <w:p w14:paraId="34C7574F"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146</w:t>
            </w:r>
          </w:p>
        </w:tc>
        <w:tc>
          <w:tcPr>
            <w:tcW w:w="581" w:type="dxa"/>
          </w:tcPr>
          <w:p w14:paraId="5E6D325C"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194</w:t>
            </w:r>
          </w:p>
        </w:tc>
        <w:tc>
          <w:tcPr>
            <w:tcW w:w="581" w:type="dxa"/>
          </w:tcPr>
          <w:p w14:paraId="1E31EA43"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203</w:t>
            </w:r>
          </w:p>
        </w:tc>
        <w:tc>
          <w:tcPr>
            <w:tcW w:w="581" w:type="dxa"/>
          </w:tcPr>
          <w:p w14:paraId="7BF4C2F6"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171</w:t>
            </w:r>
          </w:p>
        </w:tc>
        <w:tc>
          <w:tcPr>
            <w:tcW w:w="581" w:type="dxa"/>
          </w:tcPr>
          <w:p w14:paraId="77E8412A"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129</w:t>
            </w:r>
          </w:p>
        </w:tc>
        <w:tc>
          <w:tcPr>
            <w:tcW w:w="581" w:type="dxa"/>
          </w:tcPr>
          <w:p w14:paraId="2418D462"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151</w:t>
            </w:r>
          </w:p>
        </w:tc>
        <w:tc>
          <w:tcPr>
            <w:tcW w:w="581" w:type="dxa"/>
          </w:tcPr>
          <w:p w14:paraId="2A671C1B" w14:textId="374B1822" w:rsidR="00DE6B5A" w:rsidRDefault="00AB1F1D"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97</w:t>
            </w:r>
          </w:p>
        </w:tc>
        <w:tc>
          <w:tcPr>
            <w:tcW w:w="581" w:type="dxa"/>
          </w:tcPr>
          <w:p w14:paraId="264BBE91" w14:textId="2E7184C1" w:rsidR="00DE6B5A" w:rsidRDefault="004D339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128</w:t>
            </w:r>
          </w:p>
        </w:tc>
      </w:tr>
      <w:tr w:rsidR="00DE6B5A" w:rsidRPr="006B1804" w14:paraId="0F412A2C" w14:textId="2C4F6091" w:rsidTr="00DE6B5A">
        <w:tc>
          <w:tcPr>
            <w:cnfStyle w:val="001000000000" w:firstRow="0" w:lastRow="0" w:firstColumn="1" w:lastColumn="0" w:oddVBand="0" w:evenVBand="0" w:oddHBand="0" w:evenHBand="0" w:firstRowFirstColumn="0" w:firstRowLastColumn="0" w:lastRowFirstColumn="0" w:lastRowLastColumn="0"/>
            <w:tcW w:w="1413" w:type="dxa"/>
          </w:tcPr>
          <w:p w14:paraId="5D5834B2" w14:textId="77777777" w:rsidR="00DE6B5A" w:rsidRDefault="00DE6B5A" w:rsidP="00E77202">
            <w:pPr>
              <w:rPr>
                <w:rFonts w:cstheme="minorHAnsi"/>
                <w:bCs w:val="0"/>
                <w:noProof/>
                <w:color w:val="000000"/>
                <w:sz w:val="20"/>
                <w:szCs w:val="20"/>
                <w:lang w:eastAsia="nb-NO"/>
              </w:rPr>
            </w:pPr>
            <w:r w:rsidRPr="006B1804">
              <w:rPr>
                <w:rFonts w:cstheme="minorHAnsi"/>
                <w:b w:val="0"/>
                <w:noProof/>
                <w:color w:val="000000"/>
                <w:sz w:val="20"/>
                <w:szCs w:val="20"/>
                <w:lang w:eastAsia="nb-NO"/>
              </w:rPr>
              <w:t>Minnelig/</w:t>
            </w:r>
          </w:p>
          <w:p w14:paraId="1BEA6975" w14:textId="77777777" w:rsidR="00DE6B5A" w:rsidRPr="006B1804" w:rsidRDefault="00DE6B5A"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trukket</w:t>
            </w:r>
          </w:p>
        </w:tc>
        <w:tc>
          <w:tcPr>
            <w:tcW w:w="581" w:type="dxa"/>
          </w:tcPr>
          <w:p w14:paraId="2B1CB548"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49</w:t>
            </w:r>
          </w:p>
        </w:tc>
        <w:tc>
          <w:tcPr>
            <w:tcW w:w="581" w:type="dxa"/>
          </w:tcPr>
          <w:p w14:paraId="076361DA"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48</w:t>
            </w:r>
          </w:p>
        </w:tc>
        <w:tc>
          <w:tcPr>
            <w:tcW w:w="581" w:type="dxa"/>
          </w:tcPr>
          <w:p w14:paraId="0AADA1BE" w14:textId="4DEDB0A8"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4</w:t>
            </w:r>
            <w:r w:rsidRPr="004A08A2">
              <w:rPr>
                <w:rFonts w:ascii="Calibri" w:hAnsi="Calibri" w:cs="Calibri"/>
                <w:noProof/>
                <w:color w:val="000000"/>
                <w:sz w:val="18"/>
                <w:szCs w:val="18"/>
                <w:lang w:eastAsia="nb-NO"/>
              </w:rPr>
              <w:t>8</w:t>
            </w:r>
          </w:p>
        </w:tc>
        <w:tc>
          <w:tcPr>
            <w:tcW w:w="610" w:type="dxa"/>
          </w:tcPr>
          <w:p w14:paraId="4222BCAE"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39</w:t>
            </w:r>
          </w:p>
        </w:tc>
        <w:tc>
          <w:tcPr>
            <w:tcW w:w="632" w:type="dxa"/>
          </w:tcPr>
          <w:p w14:paraId="49AD4410"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55</w:t>
            </w:r>
          </w:p>
        </w:tc>
        <w:tc>
          <w:tcPr>
            <w:tcW w:w="581" w:type="dxa"/>
          </w:tcPr>
          <w:p w14:paraId="17190663"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32</w:t>
            </w:r>
          </w:p>
        </w:tc>
        <w:tc>
          <w:tcPr>
            <w:tcW w:w="581" w:type="dxa"/>
          </w:tcPr>
          <w:p w14:paraId="3616BF02"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27</w:t>
            </w:r>
          </w:p>
        </w:tc>
        <w:tc>
          <w:tcPr>
            <w:tcW w:w="581" w:type="dxa"/>
          </w:tcPr>
          <w:p w14:paraId="21AA8EAA"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55</w:t>
            </w:r>
          </w:p>
        </w:tc>
        <w:tc>
          <w:tcPr>
            <w:tcW w:w="581" w:type="dxa"/>
          </w:tcPr>
          <w:p w14:paraId="272FC88E"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48</w:t>
            </w:r>
          </w:p>
        </w:tc>
        <w:tc>
          <w:tcPr>
            <w:tcW w:w="581" w:type="dxa"/>
          </w:tcPr>
          <w:p w14:paraId="6F2DBD49"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41</w:t>
            </w:r>
          </w:p>
        </w:tc>
        <w:tc>
          <w:tcPr>
            <w:tcW w:w="581" w:type="dxa"/>
          </w:tcPr>
          <w:p w14:paraId="48C38138" w14:textId="77777777" w:rsidR="00DE6B5A" w:rsidRPr="004A08A2" w:rsidRDefault="00DE6B5A"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56</w:t>
            </w:r>
            <w:r>
              <w:rPr>
                <w:rStyle w:val="Fotnotereferanse"/>
                <w:rFonts w:ascii="Calibri" w:hAnsi="Calibri" w:cs="Calibri"/>
                <w:noProof/>
                <w:color w:val="000000"/>
                <w:sz w:val="18"/>
                <w:szCs w:val="18"/>
                <w:lang w:eastAsia="nb-NO"/>
              </w:rPr>
              <w:footnoteReference w:id="3"/>
            </w:r>
          </w:p>
        </w:tc>
        <w:tc>
          <w:tcPr>
            <w:tcW w:w="581" w:type="dxa"/>
          </w:tcPr>
          <w:p w14:paraId="1D0B72C6" w14:textId="74487C8B" w:rsidR="00DE6B5A" w:rsidRDefault="00AB1F1D"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56</w:t>
            </w:r>
          </w:p>
        </w:tc>
        <w:tc>
          <w:tcPr>
            <w:tcW w:w="581" w:type="dxa"/>
          </w:tcPr>
          <w:p w14:paraId="7C38599D" w14:textId="7FA04279" w:rsidR="00DE6B5A" w:rsidRDefault="00E229B9" w:rsidP="00E77202">
            <w:pPr>
              <w:jc w:val="right"/>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23</w:t>
            </w:r>
          </w:p>
        </w:tc>
      </w:tr>
      <w:tr w:rsidR="00DE6B5A" w:rsidRPr="006B1804" w14:paraId="35C45D18" w14:textId="77190941" w:rsidTr="00DE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1FB91E1" w14:textId="77777777" w:rsidR="00DE6B5A" w:rsidRPr="006B1804" w:rsidRDefault="00DE6B5A" w:rsidP="00E77202">
            <w:pPr>
              <w:rPr>
                <w:rFonts w:cstheme="minorHAnsi"/>
                <w:b w:val="0"/>
                <w:noProof/>
                <w:color w:val="000000"/>
                <w:sz w:val="20"/>
                <w:szCs w:val="20"/>
                <w:lang w:eastAsia="nb-NO"/>
              </w:rPr>
            </w:pPr>
            <w:r w:rsidRPr="006B1804">
              <w:rPr>
                <w:rFonts w:cstheme="minorHAnsi"/>
                <w:b w:val="0"/>
                <w:noProof/>
                <w:color w:val="000000"/>
                <w:sz w:val="20"/>
                <w:szCs w:val="20"/>
                <w:lang w:eastAsia="nb-NO"/>
              </w:rPr>
              <w:t>Avvist/henlagt</w:t>
            </w:r>
          </w:p>
        </w:tc>
        <w:tc>
          <w:tcPr>
            <w:tcW w:w="581" w:type="dxa"/>
          </w:tcPr>
          <w:p w14:paraId="5973AADE"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27</w:t>
            </w:r>
          </w:p>
        </w:tc>
        <w:tc>
          <w:tcPr>
            <w:tcW w:w="581" w:type="dxa"/>
          </w:tcPr>
          <w:p w14:paraId="456EE8CE"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31</w:t>
            </w:r>
          </w:p>
        </w:tc>
        <w:tc>
          <w:tcPr>
            <w:tcW w:w="581" w:type="dxa"/>
          </w:tcPr>
          <w:p w14:paraId="4AE5FEBA"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31</w:t>
            </w:r>
          </w:p>
        </w:tc>
        <w:tc>
          <w:tcPr>
            <w:tcW w:w="610" w:type="dxa"/>
          </w:tcPr>
          <w:p w14:paraId="746A01E1"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40</w:t>
            </w:r>
          </w:p>
        </w:tc>
        <w:tc>
          <w:tcPr>
            <w:tcW w:w="632" w:type="dxa"/>
          </w:tcPr>
          <w:p w14:paraId="21D70C8D"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54</w:t>
            </w:r>
          </w:p>
        </w:tc>
        <w:tc>
          <w:tcPr>
            <w:tcW w:w="581" w:type="dxa"/>
          </w:tcPr>
          <w:p w14:paraId="520941C8"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44</w:t>
            </w:r>
          </w:p>
        </w:tc>
        <w:tc>
          <w:tcPr>
            <w:tcW w:w="581" w:type="dxa"/>
          </w:tcPr>
          <w:p w14:paraId="482D7736"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54</w:t>
            </w:r>
          </w:p>
        </w:tc>
        <w:tc>
          <w:tcPr>
            <w:tcW w:w="581" w:type="dxa"/>
          </w:tcPr>
          <w:p w14:paraId="13433F7E"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81</w:t>
            </w:r>
          </w:p>
        </w:tc>
        <w:tc>
          <w:tcPr>
            <w:tcW w:w="581" w:type="dxa"/>
          </w:tcPr>
          <w:p w14:paraId="15E77554"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94</w:t>
            </w:r>
          </w:p>
        </w:tc>
        <w:tc>
          <w:tcPr>
            <w:tcW w:w="581" w:type="dxa"/>
          </w:tcPr>
          <w:p w14:paraId="6B8CE5F7"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sidRPr="004A08A2">
              <w:rPr>
                <w:rFonts w:ascii="Calibri" w:hAnsi="Calibri" w:cs="Calibri"/>
                <w:noProof/>
                <w:color w:val="000000"/>
                <w:sz w:val="18"/>
                <w:szCs w:val="18"/>
                <w:lang w:eastAsia="nb-NO"/>
              </w:rPr>
              <w:t>84</w:t>
            </w:r>
          </w:p>
        </w:tc>
        <w:tc>
          <w:tcPr>
            <w:tcW w:w="581" w:type="dxa"/>
          </w:tcPr>
          <w:p w14:paraId="175F1564" w14:textId="77777777" w:rsidR="00DE6B5A" w:rsidRPr="004A08A2" w:rsidRDefault="00DE6B5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158</w:t>
            </w:r>
          </w:p>
        </w:tc>
        <w:tc>
          <w:tcPr>
            <w:tcW w:w="581" w:type="dxa"/>
          </w:tcPr>
          <w:p w14:paraId="23D862A2" w14:textId="1A90B839" w:rsidR="00DE6B5A" w:rsidRDefault="009C76FA"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287</w:t>
            </w:r>
          </w:p>
        </w:tc>
        <w:tc>
          <w:tcPr>
            <w:tcW w:w="581" w:type="dxa"/>
          </w:tcPr>
          <w:p w14:paraId="1684EEE3" w14:textId="22424D79" w:rsidR="00DE6B5A" w:rsidRDefault="00C703A2" w:rsidP="00E772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noProof/>
                <w:color w:val="000000"/>
                <w:sz w:val="18"/>
                <w:szCs w:val="18"/>
                <w:lang w:eastAsia="nb-NO"/>
              </w:rPr>
            </w:pPr>
            <w:r>
              <w:rPr>
                <w:rFonts w:ascii="Calibri" w:hAnsi="Calibri" w:cs="Calibri"/>
                <w:noProof/>
                <w:color w:val="000000"/>
                <w:sz w:val="18"/>
                <w:szCs w:val="18"/>
                <w:lang w:eastAsia="nb-NO"/>
              </w:rPr>
              <w:t>403</w:t>
            </w:r>
          </w:p>
        </w:tc>
      </w:tr>
    </w:tbl>
    <w:p w14:paraId="3BF4E6B1" w14:textId="77777777" w:rsidR="00D86AB4" w:rsidRDefault="00D86AB4" w:rsidP="001C256F">
      <w:pPr>
        <w:contextualSpacing/>
        <w:rPr>
          <w:rFonts w:cstheme="minorHAnsi"/>
          <w:noProof/>
          <w:color w:val="000000"/>
          <w:sz w:val="20"/>
          <w:szCs w:val="20"/>
          <w:lang w:eastAsia="nb-NO"/>
        </w:rPr>
      </w:pPr>
    </w:p>
    <w:p w14:paraId="72B799F4" w14:textId="7871E2C7" w:rsidR="001C256F" w:rsidRPr="006B1804" w:rsidRDefault="001C256F" w:rsidP="001C256F">
      <w:pPr>
        <w:contextualSpacing/>
        <w:rPr>
          <w:rFonts w:cstheme="minorHAnsi"/>
          <w:i/>
          <w:sz w:val="20"/>
          <w:szCs w:val="20"/>
        </w:rPr>
      </w:pPr>
      <w:r w:rsidRPr="006B1804">
        <w:rPr>
          <w:rFonts w:cstheme="minorHAnsi"/>
          <w:noProof/>
          <w:color w:val="000000"/>
          <w:sz w:val="20"/>
          <w:szCs w:val="20"/>
          <w:lang w:eastAsia="nb-NO"/>
        </w:rPr>
        <w:t>Tabell 1: Klager mottatt i PFU 200</w:t>
      </w:r>
      <w:r>
        <w:rPr>
          <w:rFonts w:cstheme="minorHAnsi"/>
          <w:noProof/>
          <w:color w:val="000000"/>
          <w:sz w:val="20"/>
          <w:szCs w:val="20"/>
          <w:lang w:eastAsia="nb-NO"/>
        </w:rPr>
        <w:t>8</w:t>
      </w:r>
      <w:r w:rsidRPr="006B1804">
        <w:rPr>
          <w:rFonts w:cstheme="minorHAnsi"/>
          <w:noProof/>
          <w:color w:val="000000"/>
          <w:sz w:val="20"/>
          <w:szCs w:val="20"/>
          <w:lang w:eastAsia="nb-NO"/>
        </w:rPr>
        <w:t>-20</w:t>
      </w:r>
      <w:r>
        <w:rPr>
          <w:rFonts w:cstheme="minorHAnsi"/>
          <w:noProof/>
          <w:color w:val="000000"/>
          <w:sz w:val="20"/>
          <w:szCs w:val="20"/>
          <w:lang w:eastAsia="nb-NO"/>
        </w:rPr>
        <w:t>20</w:t>
      </w:r>
      <w:r w:rsidRPr="006B1804">
        <w:rPr>
          <w:rFonts w:cstheme="minorHAnsi"/>
          <w:noProof/>
          <w:color w:val="000000"/>
          <w:sz w:val="20"/>
          <w:szCs w:val="20"/>
          <w:lang w:eastAsia="nb-NO"/>
        </w:rPr>
        <w:t xml:space="preserve">, behandlede og delt på resultat. Fullstendig statistikk med noter på </w:t>
      </w:r>
      <w:hyperlink r:id="rId11" w:history="1">
        <w:r w:rsidRPr="00621F5D">
          <w:rPr>
            <w:rStyle w:val="Hyperkobling"/>
            <w:rFonts w:cstheme="minorHAnsi"/>
            <w:noProof/>
            <w:sz w:val="20"/>
            <w:szCs w:val="20"/>
            <w:lang w:eastAsia="nb-NO"/>
          </w:rPr>
          <w:t>www.presse.no</w:t>
        </w:r>
      </w:hyperlink>
      <w:r>
        <w:rPr>
          <w:rFonts w:cstheme="minorHAnsi"/>
          <w:noProof/>
          <w:color w:val="000000"/>
          <w:sz w:val="20"/>
          <w:szCs w:val="20"/>
          <w:lang w:eastAsia="nb-NO"/>
        </w:rPr>
        <w:t xml:space="preserve">. </w:t>
      </w:r>
      <w:r w:rsidRPr="006B1804">
        <w:rPr>
          <w:rFonts w:cstheme="minorHAnsi"/>
          <w:i/>
          <w:sz w:val="20"/>
          <w:szCs w:val="20"/>
        </w:rPr>
        <w:t>(Kilde: Norsk Presseforbund)</w:t>
      </w:r>
      <w:r w:rsidR="00A64078">
        <w:rPr>
          <w:rFonts w:cstheme="minorHAnsi"/>
          <w:i/>
          <w:sz w:val="20"/>
          <w:szCs w:val="20"/>
        </w:rPr>
        <w:t>.</w:t>
      </w:r>
    </w:p>
    <w:p w14:paraId="48AE8FAB" w14:textId="77777777" w:rsidR="00D86AB4" w:rsidRDefault="00D86AB4" w:rsidP="00C15F5B">
      <w:pPr>
        <w:spacing w:after="120"/>
        <w:rPr>
          <w:rFonts w:cstheme="minorHAnsi"/>
        </w:rPr>
      </w:pPr>
    </w:p>
    <w:p w14:paraId="34887957" w14:textId="6BCA6CA8" w:rsidR="00C66400" w:rsidRDefault="00C66400" w:rsidP="00C15F5B">
      <w:pPr>
        <w:spacing w:after="120"/>
        <w:rPr>
          <w:rFonts w:cstheme="minorHAnsi"/>
        </w:rPr>
      </w:pPr>
      <w:r>
        <w:rPr>
          <w:rFonts w:cstheme="minorHAnsi"/>
        </w:rPr>
        <w:t xml:space="preserve">Hvorfor det er slik at </w:t>
      </w:r>
      <w:r w:rsidR="00F026CD">
        <w:rPr>
          <w:rFonts w:cstheme="minorHAnsi"/>
        </w:rPr>
        <w:t>PFU nå får stadig flere klager, men at de fleste av de «ekstra» klagene avvises</w:t>
      </w:r>
      <w:r w:rsidR="006601D9">
        <w:rPr>
          <w:rFonts w:cstheme="minorHAnsi"/>
        </w:rPr>
        <w:t>,</w:t>
      </w:r>
      <w:r w:rsidR="00F026CD">
        <w:rPr>
          <w:rFonts w:cstheme="minorHAnsi"/>
        </w:rPr>
        <w:t xml:space="preserve"> er det flere grunner til. Når klager avvises handler det</w:t>
      </w:r>
      <w:r w:rsidR="006601D9">
        <w:rPr>
          <w:rFonts w:cstheme="minorHAnsi"/>
        </w:rPr>
        <w:t xml:space="preserve"> </w:t>
      </w:r>
      <w:r w:rsidR="00F026CD">
        <w:rPr>
          <w:rFonts w:cstheme="minorHAnsi"/>
        </w:rPr>
        <w:t xml:space="preserve">gjerne om </w:t>
      </w:r>
      <w:r w:rsidR="00836464">
        <w:rPr>
          <w:rFonts w:cstheme="minorHAnsi"/>
        </w:rPr>
        <w:t xml:space="preserve">klagere som ikke selv er direkte berørt, </w:t>
      </w:r>
      <w:r w:rsidR="00836464">
        <w:rPr>
          <w:rFonts w:cstheme="minorHAnsi"/>
        </w:rPr>
        <w:lastRenderedPageBreak/>
        <w:t>men som enten klager på vegne av andre (og ikke får det påkrevde samtykket)</w:t>
      </w:r>
      <w:r w:rsidR="006601D9">
        <w:rPr>
          <w:rFonts w:cstheme="minorHAnsi"/>
        </w:rPr>
        <w:t>,</w:t>
      </w:r>
      <w:r w:rsidR="00836464">
        <w:rPr>
          <w:rFonts w:cstheme="minorHAnsi"/>
        </w:rPr>
        <w:t xml:space="preserve"> eller de er generelt misfornøyde med </w:t>
      </w:r>
      <w:r w:rsidR="002E7954">
        <w:rPr>
          <w:rFonts w:cstheme="minorHAnsi"/>
        </w:rPr>
        <w:t>mediedekningen av en eller flere saker og ikke klarer å avgrense klagen slik at den kan behandles av PFU.</w:t>
      </w:r>
    </w:p>
    <w:p w14:paraId="34B9605C" w14:textId="77777777" w:rsidR="002E7954" w:rsidRPr="00C66400" w:rsidRDefault="002E7954" w:rsidP="00C15F5B">
      <w:pPr>
        <w:spacing w:after="120"/>
        <w:rPr>
          <w:rFonts w:cstheme="minorHAnsi"/>
        </w:rPr>
      </w:pPr>
    </w:p>
    <w:p w14:paraId="75F2DE26" w14:textId="0A486C7B" w:rsidR="00C15F5B" w:rsidRPr="009A2945" w:rsidRDefault="00C27023" w:rsidP="00C15F5B">
      <w:pPr>
        <w:spacing w:after="120"/>
        <w:contextualSpacing/>
        <w:rPr>
          <w:rFonts w:cstheme="minorHAnsi"/>
          <w:sz w:val="36"/>
          <w:szCs w:val="36"/>
        </w:rPr>
      </w:pPr>
      <w:r>
        <w:rPr>
          <w:rFonts w:cstheme="minorHAnsi"/>
          <w:sz w:val="36"/>
          <w:szCs w:val="36"/>
        </w:rPr>
        <w:t xml:space="preserve">Lavere andel ender med uttalelse </w:t>
      </w:r>
      <w:r w:rsidR="008B5B63">
        <w:rPr>
          <w:rFonts w:cstheme="minorHAnsi"/>
          <w:sz w:val="36"/>
          <w:szCs w:val="36"/>
        </w:rPr>
        <w:t xml:space="preserve">– flere </w:t>
      </w:r>
      <w:r w:rsidR="00DF27A1">
        <w:rPr>
          <w:rFonts w:cstheme="minorHAnsi"/>
          <w:sz w:val="36"/>
          <w:szCs w:val="36"/>
        </w:rPr>
        <w:t>blir «forenklet»</w:t>
      </w:r>
    </w:p>
    <w:p w14:paraId="0DAC8533" w14:textId="15333A92" w:rsidR="0058139A" w:rsidRDefault="00DC56DC" w:rsidP="00C15F5B">
      <w:pPr>
        <w:contextualSpacing/>
        <w:rPr>
          <w:rFonts w:cstheme="minorHAnsi"/>
        </w:rPr>
      </w:pPr>
      <w:r>
        <w:rPr>
          <w:rFonts w:cstheme="minorHAnsi"/>
        </w:rPr>
        <w:t>Mens andelen innkomne klager som har resultert</w:t>
      </w:r>
      <w:r w:rsidR="00936F71">
        <w:rPr>
          <w:rFonts w:cstheme="minorHAnsi"/>
        </w:rPr>
        <w:t xml:space="preserve"> uttalelser fra PFU i mange år lå på mellom 25 og 30 prosent, har prosentandelen, av grunner som er redegjort for ovenfor, sunket til </w:t>
      </w:r>
      <w:r w:rsidR="00CC1C74">
        <w:rPr>
          <w:rFonts w:cstheme="minorHAnsi"/>
        </w:rPr>
        <w:t>mellom 15 og 20 prosent de siste årene. Det er også en konsekvens av at mange saker avv</w:t>
      </w:r>
      <w:r w:rsidR="002F4DCE">
        <w:rPr>
          <w:rFonts w:cstheme="minorHAnsi"/>
        </w:rPr>
        <w:t>i</w:t>
      </w:r>
      <w:r w:rsidR="00CC1C74">
        <w:rPr>
          <w:rFonts w:cstheme="minorHAnsi"/>
        </w:rPr>
        <w:t>se</w:t>
      </w:r>
      <w:r w:rsidR="002F4DCE">
        <w:rPr>
          <w:rFonts w:cstheme="minorHAnsi"/>
        </w:rPr>
        <w:t>s</w:t>
      </w:r>
      <w:r w:rsidR="00CC1C74">
        <w:rPr>
          <w:rFonts w:cstheme="minorHAnsi"/>
        </w:rPr>
        <w:t xml:space="preserve">. </w:t>
      </w:r>
      <w:r w:rsidR="00D86AB4">
        <w:rPr>
          <w:rFonts w:cstheme="minorHAnsi"/>
        </w:rPr>
        <w:t xml:space="preserve">Rundt </w:t>
      </w:r>
      <w:r w:rsidR="00C15F5B" w:rsidRPr="006B1804">
        <w:rPr>
          <w:rFonts w:cstheme="minorHAnsi"/>
        </w:rPr>
        <w:t>25 prosent av de innkomne klagene resulterte i uttalelse fra PFU. Det er</w:t>
      </w:r>
      <w:r w:rsidR="00C15F5B">
        <w:rPr>
          <w:rFonts w:cstheme="minorHAnsi"/>
        </w:rPr>
        <w:t xml:space="preserve"> omtrent samme andel som i 2017,</w:t>
      </w:r>
      <w:r w:rsidR="00C15F5B" w:rsidRPr="006B1804">
        <w:rPr>
          <w:rFonts w:cstheme="minorHAnsi"/>
        </w:rPr>
        <w:t xml:space="preserve"> litt lavere enn årene 2014-2016</w:t>
      </w:r>
      <w:r w:rsidR="00C15F5B">
        <w:rPr>
          <w:rFonts w:cstheme="minorHAnsi"/>
        </w:rPr>
        <w:t xml:space="preserve"> og</w:t>
      </w:r>
      <w:r w:rsidR="00C15F5B" w:rsidRPr="006B1804">
        <w:rPr>
          <w:rFonts w:cstheme="minorHAnsi"/>
        </w:rPr>
        <w:t xml:space="preserve"> langt lavere enn i årene før. I 2007 og 2010 endte for eksempel drøyt 50 prosent av klagene med uttalelse fra PFU. I de påfølgende årene har andelen gått noe ned, men helt frem til og med 2012 har andelen klager som resulterte i uttalelse – altså full behandling i PFU – ligget på over 40 prosent. </w:t>
      </w:r>
    </w:p>
    <w:p w14:paraId="695ABD11" w14:textId="77777777" w:rsidR="00D86AB4" w:rsidRDefault="00D86AB4" w:rsidP="00C15F5B">
      <w:pPr>
        <w:contextualSpacing/>
        <w:rPr>
          <w:rFonts w:cstheme="minorHAnsi"/>
        </w:rPr>
      </w:pPr>
    </w:p>
    <w:p w14:paraId="08826D3E" w14:textId="74373F9A" w:rsidR="004D069D" w:rsidRDefault="00F82DFD" w:rsidP="00C15F5B">
      <w:pPr>
        <w:rPr>
          <w:rFonts w:cstheme="minorHAnsi"/>
        </w:rPr>
      </w:pPr>
      <w:r>
        <w:rPr>
          <w:rFonts w:cstheme="minorHAnsi"/>
        </w:rPr>
        <w:t xml:space="preserve">Mens det i mange år tidlig på 2000-tallet var slik at </w:t>
      </w:r>
      <w:r w:rsidR="002954D4">
        <w:rPr>
          <w:rFonts w:cstheme="minorHAnsi"/>
        </w:rPr>
        <w:t>antallet saker som ble gitt «forenklet behandling»</w:t>
      </w:r>
      <w:r w:rsidR="00C07638" w:rsidRPr="006B1804">
        <w:rPr>
          <w:rStyle w:val="Fotnotereferanse"/>
          <w:rFonts w:cstheme="minorHAnsi"/>
        </w:rPr>
        <w:footnoteReference w:id="4"/>
      </w:r>
      <w:r w:rsidR="002954D4">
        <w:rPr>
          <w:rFonts w:cstheme="minorHAnsi"/>
        </w:rPr>
        <w:t xml:space="preserve"> lå langt lavere enn antallet hvor utvalget avga uttalelse, så har dette endret seg de siste årene.</w:t>
      </w:r>
      <w:r w:rsidR="003C4268">
        <w:rPr>
          <w:rFonts w:cstheme="minorHAnsi"/>
        </w:rPr>
        <w:t xml:space="preserve"> Andelen saker, av de som er «</w:t>
      </w:r>
      <w:r w:rsidR="006601D9">
        <w:rPr>
          <w:rFonts w:cstheme="minorHAnsi"/>
        </w:rPr>
        <w:t>b</w:t>
      </w:r>
      <w:r w:rsidR="003C4268">
        <w:rPr>
          <w:rFonts w:cstheme="minorHAnsi"/>
        </w:rPr>
        <w:t>ehandlede klager» som blir forenklet</w:t>
      </w:r>
      <w:r w:rsidR="006601D9">
        <w:rPr>
          <w:rFonts w:cstheme="minorHAnsi"/>
        </w:rPr>
        <w:t>,</w:t>
      </w:r>
      <w:r w:rsidR="003C4268">
        <w:rPr>
          <w:rFonts w:cstheme="minorHAnsi"/>
        </w:rPr>
        <w:t xml:space="preserve"> har de siste årene ligget på mellom 40 og 50 prosent. I 2018 var andelen 45 prosent</w:t>
      </w:r>
      <w:r w:rsidR="002954D4">
        <w:rPr>
          <w:rFonts w:cstheme="minorHAnsi"/>
        </w:rPr>
        <w:t>, i 2019</w:t>
      </w:r>
      <w:r w:rsidR="00D24FD2">
        <w:rPr>
          <w:rFonts w:cstheme="minorHAnsi"/>
        </w:rPr>
        <w:t xml:space="preserve"> </w:t>
      </w:r>
      <w:r w:rsidR="00B4724E">
        <w:rPr>
          <w:rFonts w:cstheme="minorHAnsi"/>
        </w:rPr>
        <w:t xml:space="preserve">37 prosent og i 2020 faktisk 51 prosent. </w:t>
      </w:r>
      <w:r w:rsidR="003C4268">
        <w:rPr>
          <w:rFonts w:cstheme="minorHAnsi"/>
        </w:rPr>
        <w:t>Det er vanskelig å si nøyaktig hva dette skyldes</w:t>
      </w:r>
      <w:r w:rsidR="00F22D26">
        <w:rPr>
          <w:rFonts w:cstheme="minorHAnsi"/>
        </w:rPr>
        <w:t xml:space="preserve">. En mulig forklaring er at økt oppmerksomhet om PFU og utvalgets møter (åpne møter, </w:t>
      </w:r>
      <w:proofErr w:type="spellStart"/>
      <w:r w:rsidR="00F22D26">
        <w:rPr>
          <w:rFonts w:cstheme="minorHAnsi"/>
        </w:rPr>
        <w:t>streaming</w:t>
      </w:r>
      <w:proofErr w:type="spellEnd"/>
      <w:r w:rsidR="00F22D26">
        <w:rPr>
          <w:rFonts w:cstheme="minorHAnsi"/>
        </w:rPr>
        <w:t xml:space="preserve"> </w:t>
      </w:r>
      <w:proofErr w:type="spellStart"/>
      <w:r w:rsidR="00F22D26">
        <w:rPr>
          <w:rFonts w:cstheme="minorHAnsi"/>
        </w:rPr>
        <w:t>osv</w:t>
      </w:r>
      <w:proofErr w:type="spellEnd"/>
      <w:r w:rsidR="00F22D26">
        <w:rPr>
          <w:rFonts w:cstheme="minorHAnsi"/>
        </w:rPr>
        <w:t>) har bidratt til flere klager, uten at dette nødvendigvis har som årsak at den presseetiske standarden har blitt dårligere. I så fall er det grunn til å tro at det blant de «ekstra» klagene som økt oppmerksomhet fører med seg</w:t>
      </w:r>
      <w:r w:rsidR="006601D9">
        <w:rPr>
          <w:rFonts w:cstheme="minorHAnsi"/>
        </w:rPr>
        <w:t>,</w:t>
      </w:r>
      <w:r w:rsidR="00F22D26">
        <w:rPr>
          <w:rFonts w:cstheme="minorHAnsi"/>
        </w:rPr>
        <w:t xml:space="preserve"> vil være en høyere andel som er dårlig</w:t>
      </w:r>
      <w:r w:rsidR="00AD7A09">
        <w:rPr>
          <w:rFonts w:cstheme="minorHAnsi"/>
        </w:rPr>
        <w:t>ere</w:t>
      </w:r>
      <w:r w:rsidR="00F22D26">
        <w:rPr>
          <w:rFonts w:cstheme="minorHAnsi"/>
        </w:rPr>
        <w:t xml:space="preserve"> fundert. Men det er altså et betydelig element av spekulasjon i dette.</w:t>
      </w:r>
    </w:p>
    <w:p w14:paraId="01BEDEF5" w14:textId="7538E384" w:rsidR="009B65F1" w:rsidRDefault="009B65F1" w:rsidP="00922B04">
      <w:pPr>
        <w:rPr>
          <w:rFonts w:cstheme="minorHAnsi"/>
        </w:rPr>
      </w:pPr>
      <w:r>
        <w:rPr>
          <w:rFonts w:cstheme="minorHAnsi"/>
        </w:rPr>
        <w:t>Motsatsen til dette er da at andelen av de behandlede sakene som ender med uttalelse går ned. De første årene på 2000-tallet lå andelen av behandlede saker som endte med uttalelse fra PFU på mellom 50 og 60 prosent. I årene 2008-2012 lå andelen på mellom 40 og 50 prosent. Fra 2013 og til 20</w:t>
      </w:r>
      <w:r w:rsidR="0016066E">
        <w:rPr>
          <w:rFonts w:cstheme="minorHAnsi"/>
        </w:rPr>
        <w:t>19</w:t>
      </w:r>
      <w:r>
        <w:rPr>
          <w:rFonts w:cstheme="minorHAnsi"/>
        </w:rPr>
        <w:t xml:space="preserve"> </w:t>
      </w:r>
      <w:r w:rsidR="00417D61">
        <w:rPr>
          <w:rFonts w:cstheme="minorHAnsi"/>
        </w:rPr>
        <w:t>sank den til</w:t>
      </w:r>
      <w:r>
        <w:rPr>
          <w:rFonts w:cstheme="minorHAnsi"/>
        </w:rPr>
        <w:t xml:space="preserve"> mellom 30 og 40 prosent </w:t>
      </w:r>
      <w:r w:rsidR="00417D61">
        <w:rPr>
          <w:rFonts w:cstheme="minorHAnsi"/>
        </w:rPr>
        <w:t>(i</w:t>
      </w:r>
      <w:r>
        <w:rPr>
          <w:rFonts w:cstheme="minorHAnsi"/>
        </w:rPr>
        <w:t xml:space="preserve"> </w:t>
      </w:r>
      <w:r w:rsidR="00674E7F">
        <w:rPr>
          <w:rFonts w:cstheme="minorHAnsi"/>
        </w:rPr>
        <w:t>2018</w:t>
      </w:r>
      <w:r>
        <w:rPr>
          <w:rFonts w:cstheme="minorHAnsi"/>
        </w:rPr>
        <w:t xml:space="preserve"> var den 36 prosent</w:t>
      </w:r>
      <w:r w:rsidR="00674E7F">
        <w:rPr>
          <w:rFonts w:cstheme="minorHAnsi"/>
        </w:rPr>
        <w:t xml:space="preserve">, i 2019 </w:t>
      </w:r>
      <w:r w:rsidR="0041532A">
        <w:rPr>
          <w:rFonts w:cstheme="minorHAnsi"/>
        </w:rPr>
        <w:t>38 prosent</w:t>
      </w:r>
      <w:r w:rsidR="00417D61">
        <w:rPr>
          <w:rFonts w:cstheme="minorHAnsi"/>
        </w:rPr>
        <w:t xml:space="preserve">). I 2020 skvatt den imidlertid opp igjen til 48 prosent. Om dette er tilfeldig eller uttrykk for en trend i retning av </w:t>
      </w:r>
      <w:r w:rsidR="00440652">
        <w:rPr>
          <w:rFonts w:cstheme="minorHAnsi"/>
        </w:rPr>
        <w:t>at en større andel saker kommer til full behandling</w:t>
      </w:r>
      <w:r w:rsidR="006601D9">
        <w:rPr>
          <w:rFonts w:cstheme="minorHAnsi"/>
        </w:rPr>
        <w:t>,</w:t>
      </w:r>
      <w:r w:rsidR="00440652">
        <w:rPr>
          <w:rFonts w:cstheme="minorHAnsi"/>
        </w:rPr>
        <w:t xml:space="preserve"> er </w:t>
      </w:r>
      <w:r w:rsidR="00D86AB4">
        <w:rPr>
          <w:rFonts w:cstheme="minorHAnsi"/>
        </w:rPr>
        <w:t xml:space="preserve">det </w:t>
      </w:r>
      <w:r w:rsidR="00440652">
        <w:rPr>
          <w:rFonts w:cstheme="minorHAnsi"/>
        </w:rPr>
        <w:t>for tidlig å si noe om.</w:t>
      </w:r>
      <w:r w:rsidR="0041532A">
        <w:rPr>
          <w:rFonts w:cstheme="minorHAnsi"/>
        </w:rPr>
        <w:t xml:space="preserve"> </w:t>
      </w:r>
    </w:p>
    <w:p w14:paraId="26471998" w14:textId="0EA0F48C" w:rsidR="00C07638" w:rsidRDefault="00C07638" w:rsidP="00922B04">
      <w:pPr>
        <w:rPr>
          <w:rFonts w:cstheme="minorHAnsi"/>
        </w:rPr>
      </w:pPr>
    </w:p>
    <w:p w14:paraId="4FD262E5" w14:textId="6D016527" w:rsidR="009A2945" w:rsidRPr="009A2945" w:rsidRDefault="009A2945" w:rsidP="00922B04">
      <w:pPr>
        <w:contextualSpacing/>
        <w:rPr>
          <w:rFonts w:cstheme="minorHAnsi"/>
          <w:sz w:val="36"/>
          <w:szCs w:val="36"/>
        </w:rPr>
      </w:pPr>
      <w:r>
        <w:rPr>
          <w:rFonts w:cstheme="minorHAnsi"/>
          <w:sz w:val="36"/>
          <w:szCs w:val="36"/>
        </w:rPr>
        <w:t>Færre «brudd» og mer «kritikk»</w:t>
      </w:r>
      <w:r w:rsidR="009B2F5E">
        <w:rPr>
          <w:rFonts w:cstheme="minorHAnsi"/>
          <w:sz w:val="36"/>
          <w:szCs w:val="36"/>
        </w:rPr>
        <w:t>, «samlet vurdering» og dissens</w:t>
      </w:r>
    </w:p>
    <w:p w14:paraId="541CFAD6" w14:textId="402F4ABD" w:rsidR="00C07638" w:rsidRDefault="00866646" w:rsidP="00922B04">
      <w:pPr>
        <w:contextualSpacing/>
        <w:rPr>
          <w:rFonts w:cstheme="minorHAnsi"/>
        </w:rPr>
      </w:pPr>
      <w:r>
        <w:rPr>
          <w:rFonts w:cstheme="minorHAnsi"/>
        </w:rPr>
        <w:t>K</w:t>
      </w:r>
      <w:r w:rsidR="00922B04" w:rsidRPr="006B1804">
        <w:rPr>
          <w:rFonts w:cstheme="minorHAnsi"/>
        </w:rPr>
        <w:t xml:space="preserve">lagerne fikk medhold (brudd eller kritikk) i </w:t>
      </w:r>
      <w:r w:rsidR="003F4049">
        <w:rPr>
          <w:rFonts w:cstheme="minorHAnsi"/>
        </w:rPr>
        <w:t xml:space="preserve">51 </w:t>
      </w:r>
      <w:r w:rsidR="00922B04" w:rsidRPr="006B1804">
        <w:rPr>
          <w:rFonts w:cstheme="minorHAnsi"/>
        </w:rPr>
        <w:t xml:space="preserve">prosent av sakene som kom til full behandling i </w:t>
      </w:r>
      <w:r w:rsidR="003F4049">
        <w:rPr>
          <w:rFonts w:cstheme="minorHAnsi"/>
        </w:rPr>
        <w:t xml:space="preserve">2019 og </w:t>
      </w:r>
      <w:r w:rsidR="003C0FA8">
        <w:rPr>
          <w:rFonts w:cstheme="minorHAnsi"/>
        </w:rPr>
        <w:t>46 prosent av sakene i 2020</w:t>
      </w:r>
      <w:r w:rsidR="00922B04" w:rsidRPr="006B1804">
        <w:rPr>
          <w:rFonts w:cstheme="minorHAnsi"/>
        </w:rPr>
        <w:t xml:space="preserve">. Det </w:t>
      </w:r>
      <w:r w:rsidR="00C07638">
        <w:rPr>
          <w:rFonts w:cstheme="minorHAnsi"/>
        </w:rPr>
        <w:t xml:space="preserve">er litt lavere enn </w:t>
      </w:r>
      <w:r w:rsidR="001A7574">
        <w:rPr>
          <w:rFonts w:cstheme="minorHAnsi"/>
        </w:rPr>
        <w:t>både 2018 (57 prosent) og</w:t>
      </w:r>
      <w:r w:rsidR="00C07638">
        <w:rPr>
          <w:rFonts w:cstheme="minorHAnsi"/>
        </w:rPr>
        <w:t xml:space="preserve"> 2017 (64 prosent)</w:t>
      </w:r>
      <w:r w:rsidR="006255E9">
        <w:rPr>
          <w:rFonts w:cstheme="minorHAnsi"/>
        </w:rPr>
        <w:t xml:space="preserve">. </w:t>
      </w:r>
      <w:r w:rsidR="00922B04" w:rsidRPr="006B1804">
        <w:rPr>
          <w:rFonts w:cstheme="minorHAnsi"/>
        </w:rPr>
        <w:t xml:space="preserve">I årene 2004 til 2015 lå </w:t>
      </w:r>
      <w:proofErr w:type="gramStart"/>
      <w:r w:rsidR="00922B04" w:rsidRPr="006B1804">
        <w:rPr>
          <w:rFonts w:cstheme="minorHAnsi"/>
        </w:rPr>
        <w:t>for øvrig</w:t>
      </w:r>
      <w:proofErr w:type="gramEnd"/>
      <w:r w:rsidR="00922B04" w:rsidRPr="006B1804">
        <w:rPr>
          <w:rFonts w:cstheme="minorHAnsi"/>
        </w:rPr>
        <w:t xml:space="preserve"> andelen fellelser (brudd eller kritikk) stort sett mellom 40 og 50 prosent, med 2014 som bunnåret (40 prosent) og 2013 som toppåret (51 prosent).</w:t>
      </w:r>
      <w:r w:rsidR="00C07638">
        <w:rPr>
          <w:rFonts w:cstheme="minorHAnsi"/>
        </w:rPr>
        <w:t xml:space="preserve"> </w:t>
      </w:r>
    </w:p>
    <w:p w14:paraId="1DA73FF7" w14:textId="384BE61B" w:rsidR="000C0BB8" w:rsidRDefault="00C07638" w:rsidP="00922B04">
      <w:pPr>
        <w:rPr>
          <w:rFonts w:cstheme="minorHAnsi"/>
        </w:rPr>
      </w:pPr>
      <w:r>
        <w:rPr>
          <w:rFonts w:cstheme="minorHAnsi"/>
        </w:rPr>
        <w:lastRenderedPageBreak/>
        <w:t xml:space="preserve">Det er verdt å merke seg at andelen uttalelser med «kritikk» har steget </w:t>
      </w:r>
      <w:r w:rsidR="009A2945">
        <w:rPr>
          <w:rFonts w:cstheme="minorHAnsi"/>
        </w:rPr>
        <w:t>markant de siste årene. Ser vi på de ti årene</w:t>
      </w:r>
      <w:r w:rsidR="000C7D2A">
        <w:rPr>
          <w:rFonts w:cstheme="minorHAnsi"/>
        </w:rPr>
        <w:t xml:space="preserve"> fra 2009 til 2018</w:t>
      </w:r>
      <w:r w:rsidR="009A2945">
        <w:rPr>
          <w:rFonts w:cstheme="minorHAnsi"/>
        </w:rPr>
        <w:t>, så var andelen uttalelser med kritikk (av andelen uttalelser som endte med fellelse), henholdsvis</w:t>
      </w:r>
      <w:r w:rsidR="000C0BB8">
        <w:rPr>
          <w:rFonts w:cstheme="minorHAnsi"/>
        </w:rPr>
        <w:t>:</w:t>
      </w:r>
    </w:p>
    <w:p w14:paraId="6EA0E078" w14:textId="77777777" w:rsidR="000C0BB8" w:rsidRDefault="009A2945" w:rsidP="000C0BB8">
      <w:pPr>
        <w:spacing w:after="0" w:line="276" w:lineRule="auto"/>
        <w:rPr>
          <w:rFonts w:cstheme="minorHAnsi"/>
        </w:rPr>
      </w:pPr>
      <w:r>
        <w:rPr>
          <w:rFonts w:cstheme="minorHAnsi"/>
        </w:rPr>
        <w:t>2009</w:t>
      </w:r>
      <w:r w:rsidR="000C0BB8">
        <w:rPr>
          <w:rFonts w:cstheme="minorHAnsi"/>
        </w:rPr>
        <w:t>: 16 prosent</w:t>
      </w:r>
    </w:p>
    <w:p w14:paraId="0C9BC58A" w14:textId="77777777" w:rsidR="004B15E0" w:rsidRDefault="009A2945" w:rsidP="000C0BB8">
      <w:pPr>
        <w:spacing w:after="0" w:line="276" w:lineRule="auto"/>
        <w:rPr>
          <w:rFonts w:cstheme="minorHAnsi"/>
        </w:rPr>
      </w:pPr>
      <w:r>
        <w:rPr>
          <w:rFonts w:cstheme="minorHAnsi"/>
        </w:rPr>
        <w:t>2010</w:t>
      </w:r>
      <w:r w:rsidR="004B15E0">
        <w:rPr>
          <w:rFonts w:cstheme="minorHAnsi"/>
        </w:rPr>
        <w:t>: 20 prosent</w:t>
      </w:r>
    </w:p>
    <w:p w14:paraId="2053A7C7" w14:textId="77777777" w:rsidR="004B15E0" w:rsidRDefault="009A2945" w:rsidP="000C0BB8">
      <w:pPr>
        <w:spacing w:after="0" w:line="276" w:lineRule="auto"/>
        <w:rPr>
          <w:rFonts w:cstheme="minorHAnsi"/>
        </w:rPr>
      </w:pPr>
      <w:r>
        <w:rPr>
          <w:rFonts w:cstheme="minorHAnsi"/>
        </w:rPr>
        <w:t>2011</w:t>
      </w:r>
      <w:r w:rsidR="004B15E0">
        <w:rPr>
          <w:rFonts w:cstheme="minorHAnsi"/>
        </w:rPr>
        <w:t>: 15 prosent</w:t>
      </w:r>
    </w:p>
    <w:p w14:paraId="23606804" w14:textId="77777777" w:rsidR="004B15E0" w:rsidRDefault="009A2945" w:rsidP="000C0BB8">
      <w:pPr>
        <w:spacing w:after="0" w:line="276" w:lineRule="auto"/>
        <w:rPr>
          <w:rFonts w:cstheme="minorHAnsi"/>
        </w:rPr>
      </w:pPr>
      <w:r>
        <w:rPr>
          <w:rFonts w:cstheme="minorHAnsi"/>
        </w:rPr>
        <w:t>2012</w:t>
      </w:r>
      <w:r w:rsidR="004B15E0">
        <w:rPr>
          <w:rFonts w:cstheme="minorHAnsi"/>
        </w:rPr>
        <w:t>: 13 prosent</w:t>
      </w:r>
    </w:p>
    <w:p w14:paraId="2E1762D9" w14:textId="77777777" w:rsidR="004B15E0" w:rsidRDefault="009A2945" w:rsidP="000C0BB8">
      <w:pPr>
        <w:spacing w:after="0" w:line="276" w:lineRule="auto"/>
        <w:rPr>
          <w:rFonts w:cstheme="minorHAnsi"/>
        </w:rPr>
      </w:pPr>
      <w:r>
        <w:rPr>
          <w:rFonts w:cstheme="minorHAnsi"/>
        </w:rPr>
        <w:t>2013</w:t>
      </w:r>
      <w:r w:rsidR="004B15E0">
        <w:rPr>
          <w:rFonts w:cstheme="minorHAnsi"/>
        </w:rPr>
        <w:t>: 11 prosent</w:t>
      </w:r>
    </w:p>
    <w:p w14:paraId="4B472E44" w14:textId="77777777" w:rsidR="004B15E0" w:rsidRDefault="009A2945" w:rsidP="000C0BB8">
      <w:pPr>
        <w:spacing w:after="0" w:line="276" w:lineRule="auto"/>
        <w:rPr>
          <w:rFonts w:cstheme="minorHAnsi"/>
        </w:rPr>
      </w:pPr>
      <w:r>
        <w:rPr>
          <w:rFonts w:cstheme="minorHAnsi"/>
        </w:rPr>
        <w:t>2014</w:t>
      </w:r>
      <w:r w:rsidR="004B15E0">
        <w:rPr>
          <w:rFonts w:cstheme="minorHAnsi"/>
        </w:rPr>
        <w:t>: 13 prosent</w:t>
      </w:r>
    </w:p>
    <w:p w14:paraId="2910A0A0" w14:textId="77777777" w:rsidR="004B15E0" w:rsidRDefault="009A2945" w:rsidP="000C0BB8">
      <w:pPr>
        <w:spacing w:after="0" w:line="276" w:lineRule="auto"/>
        <w:rPr>
          <w:rFonts w:cstheme="minorHAnsi"/>
        </w:rPr>
      </w:pPr>
      <w:r>
        <w:rPr>
          <w:rFonts w:cstheme="minorHAnsi"/>
        </w:rPr>
        <w:t>2015</w:t>
      </w:r>
      <w:r w:rsidR="004B15E0">
        <w:rPr>
          <w:rFonts w:cstheme="minorHAnsi"/>
        </w:rPr>
        <w:t>:</w:t>
      </w:r>
      <w:r>
        <w:rPr>
          <w:rFonts w:cstheme="minorHAnsi"/>
        </w:rPr>
        <w:t xml:space="preserve"> 21 prosent</w:t>
      </w:r>
    </w:p>
    <w:p w14:paraId="3A8BA0B4" w14:textId="77777777" w:rsidR="004B15E0" w:rsidRDefault="009A2945" w:rsidP="000C0BB8">
      <w:pPr>
        <w:spacing w:after="0" w:line="276" w:lineRule="auto"/>
        <w:rPr>
          <w:rFonts w:cstheme="minorHAnsi"/>
        </w:rPr>
      </w:pPr>
      <w:r>
        <w:rPr>
          <w:rFonts w:cstheme="minorHAnsi"/>
        </w:rPr>
        <w:t>2016</w:t>
      </w:r>
      <w:r w:rsidR="004B15E0">
        <w:rPr>
          <w:rFonts w:cstheme="minorHAnsi"/>
        </w:rPr>
        <w:t>:</w:t>
      </w:r>
      <w:r>
        <w:rPr>
          <w:rFonts w:cstheme="minorHAnsi"/>
        </w:rPr>
        <w:t xml:space="preserve"> 25 prosent</w:t>
      </w:r>
    </w:p>
    <w:p w14:paraId="58421FA2" w14:textId="77777777" w:rsidR="004B15E0" w:rsidRDefault="009A2945" w:rsidP="000C0BB8">
      <w:pPr>
        <w:spacing w:after="0" w:line="276" w:lineRule="auto"/>
        <w:rPr>
          <w:rFonts w:cstheme="minorHAnsi"/>
        </w:rPr>
      </w:pPr>
      <w:r>
        <w:rPr>
          <w:rFonts w:cstheme="minorHAnsi"/>
        </w:rPr>
        <w:t>2017</w:t>
      </w:r>
      <w:r w:rsidR="004B15E0">
        <w:rPr>
          <w:rFonts w:cstheme="minorHAnsi"/>
        </w:rPr>
        <w:t>:</w:t>
      </w:r>
      <w:r>
        <w:rPr>
          <w:rFonts w:cstheme="minorHAnsi"/>
        </w:rPr>
        <w:t xml:space="preserve"> 26 prosent</w:t>
      </w:r>
    </w:p>
    <w:p w14:paraId="71A325D1" w14:textId="50547814" w:rsidR="00922B04" w:rsidRDefault="009A2945" w:rsidP="000C0BB8">
      <w:pPr>
        <w:spacing w:after="0" w:line="276" w:lineRule="auto"/>
        <w:rPr>
          <w:rFonts w:cstheme="minorHAnsi"/>
        </w:rPr>
      </w:pPr>
      <w:r>
        <w:rPr>
          <w:rFonts w:cstheme="minorHAnsi"/>
        </w:rPr>
        <w:t>2018</w:t>
      </w:r>
      <w:r w:rsidR="004B15E0">
        <w:rPr>
          <w:rFonts w:cstheme="minorHAnsi"/>
        </w:rPr>
        <w:t>:</w:t>
      </w:r>
      <w:r>
        <w:rPr>
          <w:rFonts w:cstheme="minorHAnsi"/>
        </w:rPr>
        <w:t xml:space="preserve"> 34 prosent </w:t>
      </w:r>
    </w:p>
    <w:p w14:paraId="6334D9F6" w14:textId="37771BB1" w:rsidR="004B15E0" w:rsidRDefault="007B08F4" w:rsidP="000C0BB8">
      <w:pPr>
        <w:spacing w:after="0" w:line="276" w:lineRule="auto"/>
        <w:rPr>
          <w:rFonts w:cstheme="minorHAnsi"/>
        </w:rPr>
      </w:pPr>
      <w:r>
        <w:rPr>
          <w:rFonts w:cstheme="minorHAnsi"/>
        </w:rPr>
        <w:t xml:space="preserve">2019: </w:t>
      </w:r>
      <w:r w:rsidR="003E7260">
        <w:rPr>
          <w:rFonts w:cstheme="minorHAnsi"/>
        </w:rPr>
        <w:t>27 prosent</w:t>
      </w:r>
    </w:p>
    <w:p w14:paraId="6F6E209A" w14:textId="636F5B54" w:rsidR="003E7260" w:rsidRDefault="005B2D5F" w:rsidP="000C0BB8">
      <w:pPr>
        <w:spacing w:after="0" w:line="276" w:lineRule="auto"/>
        <w:rPr>
          <w:rFonts w:cstheme="minorHAnsi"/>
        </w:rPr>
      </w:pPr>
      <w:r>
        <w:rPr>
          <w:rFonts w:cstheme="minorHAnsi"/>
        </w:rPr>
        <w:t>2020: 35 prosent</w:t>
      </w:r>
    </w:p>
    <w:p w14:paraId="420F8BDE" w14:textId="6975A221" w:rsidR="007D0F23" w:rsidRDefault="007D0F23" w:rsidP="000C0BB8">
      <w:pPr>
        <w:spacing w:after="0" w:line="276" w:lineRule="auto"/>
        <w:rPr>
          <w:rFonts w:cstheme="minorHAnsi"/>
        </w:rPr>
      </w:pPr>
    </w:p>
    <w:p w14:paraId="60D9CE10" w14:textId="1EC3223E" w:rsidR="007D0F23" w:rsidRDefault="007D0F23" w:rsidP="000C0BB8">
      <w:pPr>
        <w:spacing w:after="0" w:line="276" w:lineRule="auto"/>
        <w:rPr>
          <w:rFonts w:cstheme="minorHAnsi"/>
        </w:rPr>
      </w:pPr>
    </w:p>
    <w:p w14:paraId="3F05639D" w14:textId="2E2E7A37" w:rsidR="007D0F23" w:rsidRDefault="007D0F23" w:rsidP="000C0BB8">
      <w:pPr>
        <w:spacing w:after="0" w:line="276" w:lineRule="auto"/>
        <w:rPr>
          <w:rFonts w:cstheme="minorHAnsi"/>
        </w:rPr>
      </w:pPr>
      <w:r>
        <w:rPr>
          <w:rFonts w:cstheme="minorHAnsi"/>
          <w:noProof/>
        </w:rPr>
        <w:drawing>
          <wp:inline distT="0" distB="0" distL="0" distR="0" wp14:anchorId="48135C68" wp14:editId="29CCE61D">
            <wp:extent cx="5486400" cy="3200400"/>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E63F16" w14:textId="4D30C0D8" w:rsidR="007D0F23" w:rsidRPr="00D86AB4" w:rsidRDefault="007D0F23" w:rsidP="000C0BB8">
      <w:pPr>
        <w:spacing w:after="0" w:line="276" w:lineRule="auto"/>
        <w:rPr>
          <w:rFonts w:cstheme="minorHAnsi"/>
          <w:i/>
          <w:iCs/>
          <w:sz w:val="20"/>
          <w:szCs w:val="20"/>
        </w:rPr>
      </w:pPr>
      <w:r w:rsidRPr="00D86AB4">
        <w:rPr>
          <w:rFonts w:cstheme="minorHAnsi"/>
          <w:i/>
          <w:iCs/>
          <w:sz w:val="20"/>
          <w:szCs w:val="20"/>
        </w:rPr>
        <w:t>Tabell 2: Utviklingen i andelen fellende uttal</w:t>
      </w:r>
      <w:r w:rsidR="006F2FC5" w:rsidRPr="00D86AB4">
        <w:rPr>
          <w:rFonts w:cstheme="minorHAnsi"/>
          <w:i/>
          <w:iCs/>
          <w:sz w:val="20"/>
          <w:szCs w:val="20"/>
        </w:rPr>
        <w:t>elser som endte med «kritikk» i årene 2009-2020.</w:t>
      </w:r>
    </w:p>
    <w:p w14:paraId="447346DD" w14:textId="15726767" w:rsidR="007D0F23" w:rsidRDefault="007D0F23" w:rsidP="000C0BB8">
      <w:pPr>
        <w:spacing w:after="0" w:line="276" w:lineRule="auto"/>
        <w:rPr>
          <w:rFonts w:cstheme="minorHAnsi"/>
        </w:rPr>
      </w:pPr>
    </w:p>
    <w:p w14:paraId="60F58919" w14:textId="46996424" w:rsidR="007D0F23" w:rsidRDefault="007D0F23" w:rsidP="000C0BB8">
      <w:pPr>
        <w:spacing w:after="0" w:line="276" w:lineRule="auto"/>
        <w:rPr>
          <w:rFonts w:cstheme="minorHAnsi"/>
        </w:rPr>
      </w:pPr>
    </w:p>
    <w:p w14:paraId="4F9D0BDF" w14:textId="48421DC3" w:rsidR="00D73F5A" w:rsidRDefault="00C60C13" w:rsidP="000C0BB8">
      <w:pPr>
        <w:spacing w:after="0" w:line="276" w:lineRule="auto"/>
        <w:rPr>
          <w:rFonts w:cstheme="minorHAnsi"/>
        </w:rPr>
      </w:pPr>
      <w:r>
        <w:rPr>
          <w:rFonts w:cstheme="minorHAnsi"/>
        </w:rPr>
        <w:t xml:space="preserve">Kritikk er en mildere form for fellelse enn «brudd». </w:t>
      </w:r>
      <w:r w:rsidR="00911E7A">
        <w:rPr>
          <w:rFonts w:cstheme="minorHAnsi"/>
        </w:rPr>
        <w:t>Noen ganger hender det at utvalget ender med «kritikk» som et kompromiss mellom dem som primært mener at mediet bør gå «fri» og dem som men</w:t>
      </w:r>
      <w:r w:rsidR="009B2F5E">
        <w:rPr>
          <w:rFonts w:cstheme="minorHAnsi"/>
        </w:rPr>
        <w:t>er at det er snakk om et rent brudd. Utvalget bestreber seg på å oppnå enighet</w:t>
      </w:r>
      <w:r w:rsidR="002026B4">
        <w:rPr>
          <w:rFonts w:cstheme="minorHAnsi"/>
        </w:rPr>
        <w:t xml:space="preserve">, blant annet for at uttalelsene skal ha tyngde. Da er det interessant å merke seg at </w:t>
      </w:r>
      <w:r w:rsidR="002026B4">
        <w:rPr>
          <w:rFonts w:cstheme="minorHAnsi"/>
          <w:i/>
          <w:iCs/>
        </w:rPr>
        <w:t>samtidig</w:t>
      </w:r>
      <w:r w:rsidR="002026B4">
        <w:rPr>
          <w:rFonts w:cstheme="minorHAnsi"/>
        </w:rPr>
        <w:t xml:space="preserve"> som andelen «kritikk» øker </w:t>
      </w:r>
      <w:r w:rsidR="00113484">
        <w:rPr>
          <w:rFonts w:cstheme="minorHAnsi"/>
        </w:rPr>
        <w:t xml:space="preserve">når det kommer til fellelser, så øker også andelen «samlet vurdering» når det kommer til de sakene hvor </w:t>
      </w:r>
      <w:r w:rsidR="00113484">
        <w:rPr>
          <w:rFonts w:cstheme="minorHAnsi"/>
        </w:rPr>
        <w:lastRenderedPageBreak/>
        <w:t xml:space="preserve">mediet går fri. </w:t>
      </w:r>
      <w:r w:rsidR="00142DE0">
        <w:rPr>
          <w:rFonts w:cstheme="minorHAnsi"/>
        </w:rPr>
        <w:t xml:space="preserve">Det er en klar indikasjon på at utvalget rett og slett sliter mer med å komme frem til enighet om klare konklusjoner. «Samlet vurdering» er også en </w:t>
      </w:r>
      <w:r w:rsidR="00756F37">
        <w:rPr>
          <w:rFonts w:cstheme="minorHAnsi"/>
        </w:rPr>
        <w:t xml:space="preserve">formulering som ofte (ikke alltid) brukes for å få </w:t>
      </w:r>
      <w:r w:rsidR="007A69AB">
        <w:rPr>
          <w:rFonts w:cstheme="minorHAnsi"/>
        </w:rPr>
        <w:t xml:space="preserve">utvalgsmedlemmer som i utgangspunktet kanskje ønsket å felle, til å slutte seg til et flertall som vil la mediet gå «fri». </w:t>
      </w:r>
    </w:p>
    <w:p w14:paraId="2DCA0FB5" w14:textId="3BC96ED7" w:rsidR="009D6439" w:rsidRDefault="009D6439" w:rsidP="000C0BB8">
      <w:pPr>
        <w:spacing w:after="0" w:line="276" w:lineRule="auto"/>
        <w:rPr>
          <w:rFonts w:cstheme="minorHAnsi"/>
        </w:rPr>
      </w:pPr>
    </w:p>
    <w:p w14:paraId="39AE1103" w14:textId="27123B54" w:rsidR="009D6439" w:rsidRDefault="009D6439" w:rsidP="000C0BB8">
      <w:pPr>
        <w:spacing w:after="0" w:line="276" w:lineRule="auto"/>
        <w:rPr>
          <w:rFonts w:cstheme="minorHAnsi"/>
        </w:rPr>
      </w:pPr>
      <w:r>
        <w:rPr>
          <w:rFonts w:cstheme="minorHAnsi"/>
        </w:rPr>
        <w:t xml:space="preserve">Dersom vi i tillegg </w:t>
      </w:r>
      <w:r w:rsidR="00FA37EA">
        <w:rPr>
          <w:rFonts w:cstheme="minorHAnsi"/>
        </w:rPr>
        <w:t xml:space="preserve">tar med antallet </w:t>
      </w:r>
      <w:r w:rsidR="00FA37EA">
        <w:rPr>
          <w:rFonts w:cstheme="minorHAnsi"/>
          <w:i/>
          <w:iCs/>
        </w:rPr>
        <w:t>dissenser</w:t>
      </w:r>
      <w:r w:rsidR="00FA37EA">
        <w:rPr>
          <w:rFonts w:cstheme="minorHAnsi"/>
        </w:rPr>
        <w:t xml:space="preserve">, så blir det enda mer interessant. </w:t>
      </w:r>
      <w:r w:rsidR="00326ECA">
        <w:rPr>
          <w:rFonts w:cstheme="minorHAnsi"/>
        </w:rPr>
        <w:t>PFU har, som nevnt, en tradisjon for å tilstrebe konsensus</w:t>
      </w:r>
      <w:r w:rsidR="000412D1">
        <w:rPr>
          <w:rFonts w:cstheme="minorHAnsi"/>
        </w:rPr>
        <w:t>, blant annet ut fra en idé om at utvalgets uttalelser får mer autoritet når det er enstemmige. Dissens</w:t>
      </w:r>
      <w:r w:rsidR="00493E38">
        <w:rPr>
          <w:rFonts w:cstheme="minorHAnsi"/>
        </w:rPr>
        <w:t xml:space="preserve">er har, historisk sett, hørt til </w:t>
      </w:r>
      <w:r w:rsidR="00375395">
        <w:rPr>
          <w:rFonts w:cstheme="minorHAnsi"/>
        </w:rPr>
        <w:t>de sjeldne unntakene. De siste årene har det imidlertid vært tilløp til flere dissenser. I 2018 var det fire dissenser</w:t>
      </w:r>
      <w:r w:rsidR="00902536">
        <w:rPr>
          <w:rFonts w:cstheme="minorHAnsi"/>
        </w:rPr>
        <w:t xml:space="preserve">, og i 2019 hele 16 dissenser – hvilket </w:t>
      </w:r>
      <w:r w:rsidR="00D86AB4">
        <w:rPr>
          <w:rFonts w:cstheme="minorHAnsi"/>
        </w:rPr>
        <w:t>trolig er</w:t>
      </w:r>
      <w:r w:rsidR="00902536">
        <w:rPr>
          <w:rFonts w:cstheme="minorHAnsi"/>
        </w:rPr>
        <w:t xml:space="preserve"> soleklar rekord i </w:t>
      </w:r>
      <w:proofErr w:type="spellStart"/>
      <w:r w:rsidR="00902536">
        <w:rPr>
          <w:rFonts w:cstheme="minorHAnsi"/>
        </w:rPr>
        <w:t>PFUs</w:t>
      </w:r>
      <w:proofErr w:type="spellEnd"/>
      <w:r w:rsidR="00902536">
        <w:rPr>
          <w:rFonts w:cstheme="minorHAnsi"/>
        </w:rPr>
        <w:t xml:space="preserve"> historie. I 2020 var vi tilbake på fire dissenser</w:t>
      </w:r>
      <w:r w:rsidR="00AD2E95">
        <w:rPr>
          <w:rFonts w:cstheme="minorHAnsi"/>
        </w:rPr>
        <w:t xml:space="preserve">. Det blir spennende å følge denne utviklingen. Dersom et stadig større antall uttalelser fra PFU </w:t>
      </w:r>
      <w:r w:rsidR="00BA514F">
        <w:rPr>
          <w:rFonts w:cstheme="minorHAnsi"/>
        </w:rPr>
        <w:t xml:space="preserve">ender med «kritikk» og/eller «samlet vurdering» og/eller dissens, eller – </w:t>
      </w:r>
      <w:r w:rsidR="00A962CB">
        <w:rPr>
          <w:rFonts w:cstheme="minorHAnsi"/>
        </w:rPr>
        <w:t xml:space="preserve">kanskje enda verre – i en kombinasjon av disse (hvilket det finnes eksempler på), så </w:t>
      </w:r>
      <w:r w:rsidR="00BD0DE1">
        <w:rPr>
          <w:rFonts w:cstheme="minorHAnsi"/>
        </w:rPr>
        <w:t xml:space="preserve">bør kanskje utvalget diskutere hvorvidt det kan </w:t>
      </w:r>
      <w:r w:rsidR="00BF73D9">
        <w:rPr>
          <w:rFonts w:cstheme="minorHAnsi"/>
        </w:rPr>
        <w:t>være en utfordring for utvalgets autoritet.</w:t>
      </w:r>
    </w:p>
    <w:p w14:paraId="32BDA061" w14:textId="2FBE6C13" w:rsidR="00BF73D9" w:rsidRDefault="00BF73D9" w:rsidP="000C0BB8">
      <w:pPr>
        <w:spacing w:after="0" w:line="276" w:lineRule="auto"/>
        <w:rPr>
          <w:rFonts w:cstheme="minorHAnsi"/>
        </w:rPr>
      </w:pPr>
    </w:p>
    <w:p w14:paraId="3744EFA4" w14:textId="2C2B7FAF" w:rsidR="00BF73D9" w:rsidRPr="00FA37EA" w:rsidRDefault="00BF73D9" w:rsidP="000C0BB8">
      <w:pPr>
        <w:spacing w:after="0" w:line="276" w:lineRule="auto"/>
        <w:rPr>
          <w:rFonts w:cstheme="minorHAnsi"/>
        </w:rPr>
      </w:pPr>
    </w:p>
    <w:p w14:paraId="4EE7034D" w14:textId="382C8D43" w:rsidR="00D73F5A" w:rsidRPr="00435932" w:rsidRDefault="00435932" w:rsidP="000C0BB8">
      <w:pPr>
        <w:spacing w:after="0" w:line="276" w:lineRule="auto"/>
        <w:contextualSpacing/>
        <w:rPr>
          <w:rFonts w:cstheme="minorHAnsi"/>
          <w:sz w:val="36"/>
          <w:szCs w:val="36"/>
        </w:rPr>
      </w:pPr>
      <w:r>
        <w:rPr>
          <w:rFonts w:cstheme="minorHAnsi"/>
          <w:sz w:val="36"/>
          <w:szCs w:val="36"/>
        </w:rPr>
        <w:t>Opp og ned med minnelige ordninger</w:t>
      </w:r>
    </w:p>
    <w:p w14:paraId="3276DECF" w14:textId="5F567492" w:rsidR="002824B4" w:rsidRDefault="00995872" w:rsidP="000C0BB8">
      <w:pPr>
        <w:spacing w:after="0" w:line="276" w:lineRule="auto"/>
        <w:contextualSpacing/>
        <w:rPr>
          <w:rFonts w:cstheme="minorHAnsi"/>
        </w:rPr>
      </w:pPr>
      <w:r w:rsidRPr="006B1804">
        <w:rPr>
          <w:rFonts w:cstheme="minorHAnsi"/>
        </w:rPr>
        <w:t>D</w:t>
      </w:r>
      <w:r w:rsidR="00851201">
        <w:rPr>
          <w:rFonts w:cstheme="minorHAnsi"/>
        </w:rPr>
        <w:t xml:space="preserve">e siste årene </w:t>
      </w:r>
      <w:r w:rsidRPr="006B1804">
        <w:rPr>
          <w:rFonts w:cstheme="minorHAnsi"/>
        </w:rPr>
        <w:t>har</w:t>
      </w:r>
      <w:r w:rsidR="00851201">
        <w:rPr>
          <w:rFonts w:cstheme="minorHAnsi"/>
        </w:rPr>
        <w:t xml:space="preserve"> det</w:t>
      </w:r>
      <w:r w:rsidRPr="006B1804">
        <w:rPr>
          <w:rFonts w:cstheme="minorHAnsi"/>
        </w:rPr>
        <w:t xml:space="preserve"> vært en del diskusjon rundt spørsmålet om minnelige ordninger og ønsket om at flere klager til PFU kan løses på den måten.</w:t>
      </w:r>
      <w:r w:rsidR="00FA76D6">
        <w:rPr>
          <w:rFonts w:cstheme="minorHAnsi"/>
        </w:rPr>
        <w:t xml:space="preserve"> NR har også utgitt </w:t>
      </w:r>
      <w:hyperlink r:id="rId13" w:history="1">
        <w:r w:rsidR="00FA76D6" w:rsidRPr="00A64078">
          <w:rPr>
            <w:rStyle w:val="Hyperkobling"/>
            <w:rFonts w:cstheme="minorHAnsi"/>
          </w:rPr>
          <w:t>en egen veileder</w:t>
        </w:r>
      </w:hyperlink>
      <w:r w:rsidR="00FA76D6">
        <w:rPr>
          <w:rFonts w:cstheme="minorHAnsi"/>
        </w:rPr>
        <w:t xml:space="preserve"> om dette og forsøkt å </w:t>
      </w:r>
      <w:proofErr w:type="gramStart"/>
      <w:r w:rsidR="00FA76D6">
        <w:rPr>
          <w:rFonts w:cstheme="minorHAnsi"/>
        </w:rPr>
        <w:t>implementere</w:t>
      </w:r>
      <w:proofErr w:type="gramEnd"/>
      <w:r w:rsidR="00FA76D6">
        <w:rPr>
          <w:rFonts w:cstheme="minorHAnsi"/>
        </w:rPr>
        <w:t xml:space="preserve"> dette i kursserie</w:t>
      </w:r>
      <w:r w:rsidR="00A64078">
        <w:rPr>
          <w:rFonts w:cstheme="minorHAnsi"/>
        </w:rPr>
        <w:t>n</w:t>
      </w:r>
      <w:r w:rsidR="00FA76D6">
        <w:rPr>
          <w:rFonts w:cstheme="minorHAnsi"/>
        </w:rPr>
        <w:t xml:space="preserve"> NR Kompetanse</w:t>
      </w:r>
      <w:r w:rsidR="002718F5">
        <w:rPr>
          <w:rFonts w:cstheme="minorHAnsi"/>
        </w:rPr>
        <w:t>, blant annet med hjelp fra VGs mangeårige sjefredaktør, Bernt Olufsen, som hadde stor suksess med det vi har kalt «Bernt Olufsens metode»</w:t>
      </w:r>
      <w:r w:rsidR="00FA76D6">
        <w:rPr>
          <w:rFonts w:cstheme="minorHAnsi"/>
        </w:rPr>
        <w:t>.</w:t>
      </w:r>
      <w:r w:rsidR="00851201">
        <w:rPr>
          <w:rFonts w:cstheme="minorHAnsi"/>
        </w:rPr>
        <w:t xml:space="preserve"> NPs generalsekretær Elin Floberghagen</w:t>
      </w:r>
      <w:r w:rsidR="00531A48">
        <w:rPr>
          <w:rFonts w:cstheme="minorHAnsi"/>
        </w:rPr>
        <w:t xml:space="preserve"> har også vært tydelig på at PFU-sekretariatet gjerne ser at flere saker blir løst før de kommer til full klagebehandling. </w:t>
      </w:r>
      <w:proofErr w:type="spellStart"/>
      <w:r w:rsidR="00531A48">
        <w:rPr>
          <w:rFonts w:cstheme="minorHAnsi"/>
        </w:rPr>
        <w:t>NR</w:t>
      </w:r>
      <w:r w:rsidR="002824B4">
        <w:rPr>
          <w:rFonts w:cstheme="minorHAnsi"/>
        </w:rPr>
        <w:t>s</w:t>
      </w:r>
      <w:proofErr w:type="spellEnd"/>
      <w:r w:rsidR="002824B4">
        <w:rPr>
          <w:rFonts w:cstheme="minorHAnsi"/>
        </w:rPr>
        <w:t xml:space="preserve"> redaktørpod</w:t>
      </w:r>
      <w:r w:rsidR="00A64078">
        <w:rPr>
          <w:rFonts w:cstheme="minorHAnsi"/>
        </w:rPr>
        <w:t>k</w:t>
      </w:r>
      <w:r w:rsidR="002824B4">
        <w:rPr>
          <w:rFonts w:cstheme="minorHAnsi"/>
        </w:rPr>
        <w:t>ast «</w:t>
      </w:r>
      <w:proofErr w:type="spellStart"/>
      <w:r w:rsidR="002824B4">
        <w:rPr>
          <w:rFonts w:cstheme="minorHAnsi"/>
        </w:rPr>
        <w:t>Hotline</w:t>
      </w:r>
      <w:proofErr w:type="spellEnd"/>
      <w:r w:rsidR="002824B4">
        <w:rPr>
          <w:rFonts w:cstheme="minorHAnsi"/>
        </w:rPr>
        <w:t xml:space="preserve">» publiserte våren 2021 </w:t>
      </w:r>
      <w:hyperlink r:id="rId14" w:history="1">
        <w:r w:rsidR="002824B4" w:rsidRPr="00A64078">
          <w:rPr>
            <w:rStyle w:val="Hyperkobling"/>
            <w:rFonts w:cstheme="minorHAnsi"/>
          </w:rPr>
          <w:t>en egen episode</w:t>
        </w:r>
      </w:hyperlink>
      <w:r w:rsidR="002824B4">
        <w:rPr>
          <w:rFonts w:cstheme="minorHAnsi"/>
        </w:rPr>
        <w:t xml:space="preserve"> om minnelig ordning, med blant andre Bernt Olufsen og Elin Floberghagen som gjester. </w:t>
      </w:r>
    </w:p>
    <w:p w14:paraId="7E1F3BA6" w14:textId="11A20625" w:rsidR="002824B4" w:rsidRDefault="002824B4" w:rsidP="000C0BB8">
      <w:pPr>
        <w:spacing w:after="0" w:line="276" w:lineRule="auto"/>
        <w:rPr>
          <w:rFonts w:cstheme="minorHAnsi"/>
        </w:rPr>
      </w:pPr>
    </w:p>
    <w:p w14:paraId="528D3FD4" w14:textId="5899DEA0" w:rsidR="000D67B9" w:rsidRDefault="00672F23" w:rsidP="000D67B9">
      <w:r>
        <w:rPr>
          <w:rFonts w:cstheme="minorHAnsi"/>
        </w:rPr>
        <w:t xml:space="preserve">Det er </w:t>
      </w:r>
      <w:r w:rsidR="009C5AE9">
        <w:rPr>
          <w:rFonts w:cstheme="minorHAnsi"/>
        </w:rPr>
        <w:t>vanskelig</w:t>
      </w:r>
      <w:r>
        <w:rPr>
          <w:rFonts w:cstheme="minorHAnsi"/>
        </w:rPr>
        <w:t xml:space="preserve"> å si noe sikkert om utviklingen av antall</w:t>
      </w:r>
      <w:r w:rsidR="009C5AE9">
        <w:rPr>
          <w:rFonts w:cstheme="minorHAnsi"/>
        </w:rPr>
        <w:t xml:space="preserve"> saker som ender med minnelig ordning og saker som av andre grunner blir trukket.</w:t>
      </w:r>
      <w:r w:rsidR="00E551CE">
        <w:rPr>
          <w:rFonts w:cstheme="minorHAnsi"/>
        </w:rPr>
        <w:t xml:space="preserve"> Enda vanskeligere er det å si noe sikkert om forholdet mellom de to.</w:t>
      </w:r>
      <w:r w:rsidR="009C5AE9">
        <w:rPr>
          <w:rFonts w:cstheme="minorHAnsi"/>
        </w:rPr>
        <w:t xml:space="preserve"> </w:t>
      </w:r>
      <w:r w:rsidR="000D67B9">
        <w:t xml:space="preserve">Det skyldes at det er gjort endringer i </w:t>
      </w:r>
      <w:r w:rsidR="00F079EB">
        <w:t>måten klager registreres på, blant annet</w:t>
      </w:r>
      <w:r w:rsidR="000D67B9">
        <w:t xml:space="preserve"> etter innføring av nytt </w:t>
      </w:r>
      <w:r w:rsidR="00F079EB">
        <w:t>saks</w:t>
      </w:r>
      <w:r w:rsidR="000D67B9">
        <w:t xml:space="preserve">behandlingssystem. </w:t>
      </w:r>
      <w:r w:rsidR="00F079EB">
        <w:t>I motsetning til tidligere</w:t>
      </w:r>
      <w:r w:rsidR="00E551CE">
        <w:t xml:space="preserve"> registreres nå minnelig ordning</w:t>
      </w:r>
      <w:r w:rsidR="000D67B9">
        <w:t xml:space="preserve"> for seg, altså der det er reelt er gjort forsøk på </w:t>
      </w:r>
      <w:r w:rsidR="00E551CE">
        <w:t xml:space="preserve">minnelig ordning </w:t>
      </w:r>
      <w:r w:rsidR="000D67B9">
        <w:t>og det er kommet til en slik løsning mellom partene</w:t>
      </w:r>
      <w:r w:rsidR="00E551CE">
        <w:t xml:space="preserve">. Disse er dermed </w:t>
      </w:r>
      <w:r w:rsidR="000D67B9">
        <w:t xml:space="preserve">skilt fra klager som kun trekkes. </w:t>
      </w:r>
    </w:p>
    <w:p w14:paraId="0FD693D7" w14:textId="77777777" w:rsidR="000D67B9" w:rsidRDefault="000D67B9" w:rsidP="000D67B9">
      <w:r>
        <w:t xml:space="preserve">Tallene for siste tre år er slik: </w:t>
      </w:r>
    </w:p>
    <w:p w14:paraId="35F26131" w14:textId="3765AF3E" w:rsidR="000D67B9" w:rsidRDefault="000D67B9" w:rsidP="00372C9A">
      <w:pPr>
        <w:spacing w:after="0" w:line="276" w:lineRule="auto"/>
      </w:pPr>
      <w:r>
        <w:t>2018: 39</w:t>
      </w:r>
      <w:r w:rsidR="0022513E">
        <w:t xml:space="preserve"> minnelig ordning</w:t>
      </w:r>
      <w:r>
        <w:t xml:space="preserve"> og 7 trukket </w:t>
      </w:r>
    </w:p>
    <w:p w14:paraId="2E877695" w14:textId="1A581656" w:rsidR="000D67B9" w:rsidRDefault="000D67B9" w:rsidP="00372C9A">
      <w:pPr>
        <w:spacing w:after="0" w:line="276" w:lineRule="auto"/>
      </w:pPr>
      <w:r>
        <w:t xml:space="preserve">2019: 38 </w:t>
      </w:r>
      <w:r w:rsidR="0022513E">
        <w:t>minnelig ordning</w:t>
      </w:r>
      <w:r>
        <w:t xml:space="preserve"> og 18 trukket </w:t>
      </w:r>
    </w:p>
    <w:p w14:paraId="1DDD0D8B" w14:textId="23F74010" w:rsidR="000D67B9" w:rsidRDefault="000D67B9" w:rsidP="00372C9A">
      <w:pPr>
        <w:spacing w:after="0" w:line="276" w:lineRule="auto"/>
      </w:pPr>
      <w:r>
        <w:t xml:space="preserve">2020: 23 </w:t>
      </w:r>
      <w:r w:rsidR="0022513E">
        <w:t>minnelig ordning</w:t>
      </w:r>
      <w:r>
        <w:t xml:space="preserve"> og 8 trukket</w:t>
      </w:r>
    </w:p>
    <w:p w14:paraId="5F617576" w14:textId="38E41B51" w:rsidR="00372C9A" w:rsidRDefault="00372C9A" w:rsidP="00372C9A">
      <w:pPr>
        <w:spacing w:after="0" w:line="276" w:lineRule="auto"/>
      </w:pPr>
    </w:p>
    <w:p w14:paraId="21F8B809" w14:textId="65A79007" w:rsidR="00372C9A" w:rsidRDefault="00372C9A" w:rsidP="00372C9A">
      <w:pPr>
        <w:spacing w:after="0" w:line="276" w:lineRule="auto"/>
      </w:pPr>
      <w:r>
        <w:t xml:space="preserve">Det må vi kunne si er en skuffende utvikling, særlig sett i lys av at det er forsøkt </w:t>
      </w:r>
      <w:r w:rsidR="0002415B">
        <w:t>å oppfordre redaktørene til å bli flinkere til å forsøke å komme til minnelige ordninger, og at det er også er gjennomført flere faglige samlinger med dette som tema de siste årene.</w:t>
      </w:r>
    </w:p>
    <w:p w14:paraId="0FD28280" w14:textId="445D580D" w:rsidR="00F161C1" w:rsidRDefault="00F161C1" w:rsidP="000C0BB8">
      <w:pPr>
        <w:spacing w:after="0" w:line="276" w:lineRule="auto"/>
        <w:rPr>
          <w:rFonts w:cstheme="minorHAnsi"/>
        </w:rPr>
      </w:pPr>
    </w:p>
    <w:p w14:paraId="7CBB10DA" w14:textId="77777777" w:rsidR="00153D05" w:rsidRPr="006B1804" w:rsidRDefault="00153D05">
      <w:pPr>
        <w:rPr>
          <w:rFonts w:cstheme="minorHAnsi"/>
        </w:rPr>
      </w:pPr>
    </w:p>
    <w:p w14:paraId="3EFF0362" w14:textId="5955F0CB" w:rsidR="005717C8" w:rsidRPr="006B1804" w:rsidRDefault="00E4647C" w:rsidP="00D426D1">
      <w:pPr>
        <w:contextualSpacing/>
        <w:rPr>
          <w:rFonts w:cstheme="minorHAnsi"/>
          <w:sz w:val="36"/>
        </w:rPr>
      </w:pPr>
      <w:r>
        <w:rPr>
          <w:rFonts w:cstheme="minorHAnsi"/>
          <w:sz w:val="36"/>
        </w:rPr>
        <w:lastRenderedPageBreak/>
        <w:t>Metodefeil er «verstingene» - nok en gang</w:t>
      </w:r>
    </w:p>
    <w:p w14:paraId="41C3C5B0" w14:textId="742D0D0A" w:rsidR="000F4BBD" w:rsidRDefault="00384771" w:rsidP="00D426D1">
      <w:pPr>
        <w:contextualSpacing/>
        <w:rPr>
          <w:rFonts w:cstheme="minorHAnsi"/>
          <w:sz w:val="24"/>
        </w:rPr>
      </w:pPr>
      <w:r>
        <w:rPr>
          <w:rFonts w:cstheme="minorHAnsi"/>
          <w:sz w:val="24"/>
        </w:rPr>
        <w:t>To punkter i Vær Varsom</w:t>
      </w:r>
      <w:r w:rsidR="00A64078">
        <w:rPr>
          <w:rFonts w:cstheme="minorHAnsi"/>
          <w:sz w:val="24"/>
        </w:rPr>
        <w:t>-</w:t>
      </w:r>
      <w:r>
        <w:rPr>
          <w:rFonts w:cstheme="minorHAnsi"/>
          <w:sz w:val="24"/>
        </w:rPr>
        <w:t xml:space="preserve">plakaten har tronet på toppen av </w:t>
      </w:r>
      <w:proofErr w:type="spellStart"/>
      <w:r>
        <w:rPr>
          <w:rFonts w:cstheme="minorHAnsi"/>
          <w:sz w:val="24"/>
        </w:rPr>
        <w:t>PFUs</w:t>
      </w:r>
      <w:proofErr w:type="spellEnd"/>
      <w:r>
        <w:rPr>
          <w:rFonts w:cstheme="minorHAnsi"/>
          <w:sz w:val="24"/>
        </w:rPr>
        <w:t xml:space="preserve"> brudd-statistikk de siste årene. Punkt 3.2 om kildekritikk, opplysningskontroll og kildebredde og punkt 4.14 om samtidig imøtegåelse. </w:t>
      </w:r>
      <w:r w:rsidR="007F036F">
        <w:rPr>
          <w:rFonts w:cstheme="minorHAnsi"/>
          <w:sz w:val="24"/>
        </w:rPr>
        <w:t xml:space="preserve">Tallene har gått litt opp og ned, men disse to punktene er de eneste som år etter år, </w:t>
      </w:r>
      <w:r w:rsidR="00B33094">
        <w:rPr>
          <w:rFonts w:cstheme="minorHAnsi"/>
          <w:sz w:val="24"/>
        </w:rPr>
        <w:t xml:space="preserve">er vist til i et tosifret antall fellelser. </w:t>
      </w:r>
    </w:p>
    <w:p w14:paraId="58319520" w14:textId="39FE9163" w:rsidR="00D426D1" w:rsidRDefault="00C570EE" w:rsidP="00D426D1">
      <w:pPr>
        <w:rPr>
          <w:rFonts w:cstheme="minorHAnsi"/>
          <w:sz w:val="24"/>
        </w:rPr>
      </w:pPr>
      <w:r>
        <w:rPr>
          <w:rFonts w:cstheme="minorHAnsi"/>
          <w:sz w:val="24"/>
        </w:rPr>
        <w:t>I 2019 fikk vi riktignok en viss nedgang i antallet fellelser på manglende samtidig im</w:t>
      </w:r>
      <w:r w:rsidR="000F4BBD">
        <w:rPr>
          <w:rFonts w:cstheme="minorHAnsi"/>
          <w:sz w:val="24"/>
        </w:rPr>
        <w:t xml:space="preserve">øtegåelse, fra 21 i 2018 til 13 i 2019. Men i </w:t>
      </w:r>
      <w:r w:rsidR="00A64078">
        <w:rPr>
          <w:rFonts w:cstheme="minorHAnsi"/>
          <w:sz w:val="24"/>
        </w:rPr>
        <w:t>2020</w:t>
      </w:r>
      <w:r w:rsidR="000F4BBD">
        <w:rPr>
          <w:rFonts w:cstheme="minorHAnsi"/>
          <w:sz w:val="24"/>
        </w:rPr>
        <w:t xml:space="preserve"> var 4.14 tilbake på topp med hele 24 fellelser. </w:t>
      </w:r>
      <w:r w:rsidR="001C7D14">
        <w:rPr>
          <w:rFonts w:cstheme="minorHAnsi"/>
          <w:sz w:val="24"/>
        </w:rPr>
        <w:t xml:space="preserve">Punkt 3.2 var vist til i </w:t>
      </w:r>
      <w:r w:rsidR="007E4294">
        <w:rPr>
          <w:rFonts w:cstheme="minorHAnsi"/>
          <w:sz w:val="24"/>
        </w:rPr>
        <w:t>hele</w:t>
      </w:r>
      <w:r w:rsidR="001C7D14">
        <w:rPr>
          <w:rFonts w:cstheme="minorHAnsi"/>
          <w:sz w:val="24"/>
        </w:rPr>
        <w:t xml:space="preserve"> 30 fellelser i 20</w:t>
      </w:r>
      <w:r w:rsidR="007E4294">
        <w:rPr>
          <w:rFonts w:cstheme="minorHAnsi"/>
          <w:sz w:val="24"/>
        </w:rPr>
        <w:t xml:space="preserve">18 (rekord), mens det i 2019 og 2020 ble henholdsvis 22 og 19 fellelser. </w:t>
      </w:r>
      <w:r w:rsidR="00BB7CF6" w:rsidRPr="006B1804">
        <w:rPr>
          <w:rFonts w:cstheme="minorHAnsi"/>
          <w:sz w:val="24"/>
        </w:rPr>
        <w:t>Punkt 3.2 og punkt 4.14 blir gjerne kalt presseetikkens «halvsøsken», fordi de ofte henger sammen</w:t>
      </w:r>
      <w:r w:rsidR="00A64078">
        <w:rPr>
          <w:rFonts w:cstheme="minorHAnsi"/>
          <w:sz w:val="24"/>
        </w:rPr>
        <w:t>. B</w:t>
      </w:r>
      <w:r w:rsidR="00BB7CF6" w:rsidRPr="006B1804">
        <w:rPr>
          <w:rFonts w:cstheme="minorHAnsi"/>
          <w:sz w:val="24"/>
        </w:rPr>
        <w:t>rudd på det ene punktet fører gjerne til brudd på det andre. Og omvendt: dersom man oppfyller retten til samtidig imøtegåelse, så vil det ofte også bidra til man oppfyller kravet om kildekritikk og opplysningskontroll – kanskje særlig det siste.</w:t>
      </w:r>
    </w:p>
    <w:p w14:paraId="1A203433" w14:textId="65AED54E" w:rsidR="006D46CC" w:rsidRDefault="000316C2" w:rsidP="00D426D1">
      <w:pPr>
        <w:rPr>
          <w:rFonts w:cstheme="minorHAnsi"/>
          <w:sz w:val="24"/>
        </w:rPr>
      </w:pPr>
      <w:r>
        <w:rPr>
          <w:rFonts w:cstheme="minorHAnsi"/>
          <w:sz w:val="24"/>
        </w:rPr>
        <w:t>Statistikk over de punktene som oftest resulterer i fellelse i PFU:</w:t>
      </w:r>
    </w:p>
    <w:tbl>
      <w:tblPr>
        <w:tblStyle w:val="Fargeriklisteuthevingsfarge5"/>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49"/>
        <w:gridCol w:w="650"/>
        <w:gridCol w:w="650"/>
        <w:gridCol w:w="650"/>
        <w:gridCol w:w="650"/>
        <w:gridCol w:w="650"/>
        <w:gridCol w:w="650"/>
        <w:gridCol w:w="650"/>
        <w:gridCol w:w="650"/>
        <w:gridCol w:w="650"/>
      </w:tblGrid>
      <w:tr w:rsidR="006D46CC" w:rsidRPr="006B1804" w14:paraId="7361DB53" w14:textId="77777777" w:rsidTr="00D86A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94CF353" w14:textId="77777777" w:rsidR="006D46CC" w:rsidRPr="006B1804" w:rsidRDefault="006D46CC" w:rsidP="00D86AB4">
            <w:pPr>
              <w:rPr>
                <w:rFonts w:cstheme="minorHAnsi"/>
                <w:b w:val="0"/>
              </w:rPr>
            </w:pPr>
            <w:r w:rsidRPr="006B1804">
              <w:rPr>
                <w:rFonts w:cstheme="minorHAnsi"/>
              </w:rPr>
              <w:t xml:space="preserve">Vær Varsom-plakatens </w:t>
            </w:r>
            <w:proofErr w:type="spellStart"/>
            <w:r w:rsidRPr="006B1804">
              <w:rPr>
                <w:rFonts w:cstheme="minorHAnsi"/>
              </w:rPr>
              <w:t>pkt</w:t>
            </w:r>
            <w:proofErr w:type="spellEnd"/>
            <w:r w:rsidRPr="006B1804">
              <w:rPr>
                <w:rFonts w:cstheme="minorHAnsi"/>
              </w:rPr>
              <w:t>:</w:t>
            </w:r>
          </w:p>
        </w:tc>
        <w:tc>
          <w:tcPr>
            <w:tcW w:w="649" w:type="dxa"/>
          </w:tcPr>
          <w:p w14:paraId="781FA6DE" w14:textId="77777777" w:rsidR="006D46CC" w:rsidRPr="006B1804" w:rsidRDefault="006D46CC" w:rsidP="00D86AB4">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2011</w:t>
            </w:r>
          </w:p>
        </w:tc>
        <w:tc>
          <w:tcPr>
            <w:tcW w:w="650" w:type="dxa"/>
          </w:tcPr>
          <w:p w14:paraId="71518C2E" w14:textId="77777777" w:rsidR="006D46CC" w:rsidRPr="006B1804" w:rsidRDefault="006D46CC" w:rsidP="00D86AB4">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2012</w:t>
            </w:r>
          </w:p>
        </w:tc>
        <w:tc>
          <w:tcPr>
            <w:tcW w:w="650" w:type="dxa"/>
          </w:tcPr>
          <w:p w14:paraId="607BB286" w14:textId="77777777" w:rsidR="006D46CC" w:rsidRPr="006B1804" w:rsidRDefault="006D46CC" w:rsidP="00D86AB4">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6B1804">
              <w:rPr>
                <w:rFonts w:cstheme="minorHAnsi"/>
                <w:sz w:val="18"/>
                <w:szCs w:val="18"/>
              </w:rPr>
              <w:t>2013</w:t>
            </w:r>
          </w:p>
        </w:tc>
        <w:tc>
          <w:tcPr>
            <w:tcW w:w="650" w:type="dxa"/>
          </w:tcPr>
          <w:p w14:paraId="047CBB97" w14:textId="77777777" w:rsidR="006D46CC" w:rsidRPr="006B1804" w:rsidRDefault="006D46CC" w:rsidP="00D86AB4">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2014</w:t>
            </w:r>
          </w:p>
        </w:tc>
        <w:tc>
          <w:tcPr>
            <w:tcW w:w="650" w:type="dxa"/>
          </w:tcPr>
          <w:p w14:paraId="40353B77" w14:textId="77777777" w:rsidR="006D46CC" w:rsidRPr="006B1804" w:rsidRDefault="006D46CC" w:rsidP="00D86AB4">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2015</w:t>
            </w:r>
          </w:p>
        </w:tc>
        <w:tc>
          <w:tcPr>
            <w:tcW w:w="650" w:type="dxa"/>
          </w:tcPr>
          <w:p w14:paraId="55371321" w14:textId="77777777" w:rsidR="006D46CC" w:rsidRPr="006B1804" w:rsidRDefault="006D46CC" w:rsidP="00D86AB4">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2016</w:t>
            </w:r>
          </w:p>
        </w:tc>
        <w:tc>
          <w:tcPr>
            <w:tcW w:w="650" w:type="dxa"/>
          </w:tcPr>
          <w:p w14:paraId="3CE5BD18" w14:textId="77777777" w:rsidR="006D46CC" w:rsidRPr="006B1804" w:rsidRDefault="006D46CC" w:rsidP="00D86AB4">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2017</w:t>
            </w:r>
          </w:p>
        </w:tc>
        <w:tc>
          <w:tcPr>
            <w:tcW w:w="650" w:type="dxa"/>
          </w:tcPr>
          <w:p w14:paraId="54940EF8" w14:textId="77777777" w:rsidR="006D46CC" w:rsidRPr="006B1804" w:rsidRDefault="006D46CC" w:rsidP="00D86AB4">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2018</w:t>
            </w:r>
          </w:p>
        </w:tc>
        <w:tc>
          <w:tcPr>
            <w:tcW w:w="650" w:type="dxa"/>
          </w:tcPr>
          <w:p w14:paraId="4F0F2459" w14:textId="77777777" w:rsidR="006D46CC" w:rsidRDefault="006D46CC" w:rsidP="00D86AB4">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2019</w:t>
            </w:r>
          </w:p>
        </w:tc>
        <w:tc>
          <w:tcPr>
            <w:tcW w:w="650" w:type="dxa"/>
          </w:tcPr>
          <w:p w14:paraId="12F24586" w14:textId="77777777" w:rsidR="006D46CC" w:rsidRDefault="006D46CC" w:rsidP="00D86AB4">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2020</w:t>
            </w:r>
          </w:p>
        </w:tc>
      </w:tr>
      <w:tr w:rsidR="006D46CC" w:rsidRPr="006B1804" w14:paraId="0232F3A5" w14:textId="77777777" w:rsidTr="00D86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C280175" w14:textId="77777777" w:rsidR="006D46CC" w:rsidRPr="006B1804" w:rsidRDefault="006D46CC" w:rsidP="00D86AB4">
            <w:pPr>
              <w:rPr>
                <w:rFonts w:cstheme="minorHAnsi"/>
                <w:sz w:val="18"/>
                <w:szCs w:val="18"/>
              </w:rPr>
            </w:pPr>
            <w:r w:rsidRPr="006B1804">
              <w:rPr>
                <w:rFonts w:cstheme="minorHAnsi"/>
                <w:sz w:val="18"/>
                <w:szCs w:val="18"/>
              </w:rPr>
              <w:t>Samtidig imøtegåelse (4.14)</w:t>
            </w:r>
          </w:p>
        </w:tc>
        <w:tc>
          <w:tcPr>
            <w:tcW w:w="649" w:type="dxa"/>
          </w:tcPr>
          <w:p w14:paraId="75CC942E"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26</w:t>
            </w:r>
          </w:p>
        </w:tc>
        <w:tc>
          <w:tcPr>
            <w:tcW w:w="650" w:type="dxa"/>
          </w:tcPr>
          <w:p w14:paraId="445DAF22"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23</w:t>
            </w:r>
          </w:p>
        </w:tc>
        <w:tc>
          <w:tcPr>
            <w:tcW w:w="650" w:type="dxa"/>
          </w:tcPr>
          <w:p w14:paraId="59148018"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33</w:t>
            </w:r>
          </w:p>
        </w:tc>
        <w:tc>
          <w:tcPr>
            <w:tcW w:w="650" w:type="dxa"/>
          </w:tcPr>
          <w:p w14:paraId="02830345"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17</w:t>
            </w:r>
          </w:p>
        </w:tc>
        <w:tc>
          <w:tcPr>
            <w:tcW w:w="650" w:type="dxa"/>
          </w:tcPr>
          <w:p w14:paraId="77212CC7"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vertAlign w:val="superscript"/>
              </w:rPr>
            </w:pPr>
            <w:r w:rsidRPr="006B1804">
              <w:rPr>
                <w:rFonts w:cstheme="minorHAnsi"/>
                <w:sz w:val="18"/>
                <w:szCs w:val="18"/>
              </w:rPr>
              <w:t>22</w:t>
            </w:r>
            <w:r w:rsidRPr="006B1804">
              <w:rPr>
                <w:rFonts w:cstheme="minorHAnsi"/>
                <w:sz w:val="18"/>
                <w:szCs w:val="18"/>
                <w:vertAlign w:val="superscript"/>
              </w:rPr>
              <w:t>1</w:t>
            </w:r>
          </w:p>
        </w:tc>
        <w:tc>
          <w:tcPr>
            <w:tcW w:w="650" w:type="dxa"/>
          </w:tcPr>
          <w:p w14:paraId="4EBFCFC5"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18</w:t>
            </w:r>
          </w:p>
        </w:tc>
        <w:tc>
          <w:tcPr>
            <w:tcW w:w="650" w:type="dxa"/>
          </w:tcPr>
          <w:p w14:paraId="2F92A4B0"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23</w:t>
            </w:r>
          </w:p>
        </w:tc>
        <w:tc>
          <w:tcPr>
            <w:tcW w:w="650" w:type="dxa"/>
          </w:tcPr>
          <w:p w14:paraId="27C4D1E6"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21</w:t>
            </w:r>
          </w:p>
        </w:tc>
        <w:tc>
          <w:tcPr>
            <w:tcW w:w="650" w:type="dxa"/>
          </w:tcPr>
          <w:p w14:paraId="44B535DA"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13</w:t>
            </w:r>
          </w:p>
        </w:tc>
        <w:tc>
          <w:tcPr>
            <w:tcW w:w="650" w:type="dxa"/>
          </w:tcPr>
          <w:p w14:paraId="76DFC91A"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24</w:t>
            </w:r>
          </w:p>
        </w:tc>
      </w:tr>
      <w:tr w:rsidR="006D46CC" w:rsidRPr="006B1804" w14:paraId="4BCAE15E" w14:textId="77777777" w:rsidTr="00D86AB4">
        <w:tc>
          <w:tcPr>
            <w:cnfStyle w:val="001000000000" w:firstRow="0" w:lastRow="0" w:firstColumn="1" w:lastColumn="0" w:oddVBand="0" w:evenVBand="0" w:oddHBand="0" w:evenHBand="0" w:firstRowFirstColumn="0" w:firstRowLastColumn="0" w:lastRowFirstColumn="0" w:lastRowLastColumn="0"/>
            <w:tcW w:w="2830" w:type="dxa"/>
          </w:tcPr>
          <w:p w14:paraId="77B9A487" w14:textId="77777777" w:rsidR="006D46CC" w:rsidRPr="006B1804" w:rsidRDefault="006D46CC" w:rsidP="00D86AB4">
            <w:pPr>
              <w:rPr>
                <w:rFonts w:cstheme="minorHAnsi"/>
                <w:sz w:val="18"/>
                <w:szCs w:val="18"/>
              </w:rPr>
            </w:pPr>
            <w:r w:rsidRPr="006B1804">
              <w:rPr>
                <w:rFonts w:cstheme="minorHAnsi"/>
                <w:sz w:val="18"/>
                <w:szCs w:val="18"/>
              </w:rPr>
              <w:t>Kildekontroll/-kritikk (3.2)</w:t>
            </w:r>
          </w:p>
        </w:tc>
        <w:tc>
          <w:tcPr>
            <w:tcW w:w="649" w:type="dxa"/>
          </w:tcPr>
          <w:p w14:paraId="27E9D9F7"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16</w:t>
            </w:r>
          </w:p>
        </w:tc>
        <w:tc>
          <w:tcPr>
            <w:tcW w:w="650" w:type="dxa"/>
          </w:tcPr>
          <w:p w14:paraId="515B9A24"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25</w:t>
            </w:r>
          </w:p>
        </w:tc>
        <w:tc>
          <w:tcPr>
            <w:tcW w:w="650" w:type="dxa"/>
          </w:tcPr>
          <w:p w14:paraId="423546DF"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13</w:t>
            </w:r>
          </w:p>
        </w:tc>
        <w:tc>
          <w:tcPr>
            <w:tcW w:w="650" w:type="dxa"/>
          </w:tcPr>
          <w:p w14:paraId="10ECB327"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63A1A659"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17</w:t>
            </w:r>
          </w:p>
        </w:tc>
        <w:tc>
          <w:tcPr>
            <w:tcW w:w="650" w:type="dxa"/>
          </w:tcPr>
          <w:p w14:paraId="4B77939A"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18</w:t>
            </w:r>
          </w:p>
        </w:tc>
        <w:tc>
          <w:tcPr>
            <w:tcW w:w="650" w:type="dxa"/>
          </w:tcPr>
          <w:p w14:paraId="45664AAB"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14</w:t>
            </w:r>
          </w:p>
        </w:tc>
        <w:tc>
          <w:tcPr>
            <w:tcW w:w="650" w:type="dxa"/>
          </w:tcPr>
          <w:p w14:paraId="004B6628"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30</w:t>
            </w:r>
          </w:p>
        </w:tc>
        <w:tc>
          <w:tcPr>
            <w:tcW w:w="650" w:type="dxa"/>
          </w:tcPr>
          <w:p w14:paraId="679AAC73"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22</w:t>
            </w:r>
          </w:p>
        </w:tc>
        <w:tc>
          <w:tcPr>
            <w:tcW w:w="650" w:type="dxa"/>
          </w:tcPr>
          <w:p w14:paraId="33D6A028"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19</w:t>
            </w:r>
          </w:p>
        </w:tc>
      </w:tr>
      <w:tr w:rsidR="006D46CC" w:rsidRPr="006B1804" w14:paraId="68B204C3" w14:textId="77777777" w:rsidTr="00D86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34ADE3" w14:textId="77777777" w:rsidR="006D46CC" w:rsidRPr="006B1804" w:rsidRDefault="006D46CC" w:rsidP="00D86AB4">
            <w:pPr>
              <w:rPr>
                <w:rFonts w:cstheme="minorHAnsi"/>
                <w:sz w:val="18"/>
                <w:szCs w:val="18"/>
              </w:rPr>
            </w:pPr>
            <w:r w:rsidRPr="006B1804">
              <w:rPr>
                <w:rFonts w:cstheme="minorHAnsi"/>
                <w:sz w:val="18"/>
                <w:szCs w:val="18"/>
              </w:rPr>
              <w:t>Saklighet og omtanke (4.1)</w:t>
            </w:r>
          </w:p>
        </w:tc>
        <w:tc>
          <w:tcPr>
            <w:tcW w:w="649" w:type="dxa"/>
          </w:tcPr>
          <w:p w14:paraId="1CFFB608"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14:paraId="18F71F36"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14:paraId="5B7506F9"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14:paraId="33996CAD"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1FEB0A1B"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9</w:t>
            </w:r>
          </w:p>
        </w:tc>
        <w:tc>
          <w:tcPr>
            <w:tcW w:w="650" w:type="dxa"/>
          </w:tcPr>
          <w:p w14:paraId="16EF7ECF"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7CE08C3C"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11</w:t>
            </w:r>
          </w:p>
        </w:tc>
        <w:tc>
          <w:tcPr>
            <w:tcW w:w="650" w:type="dxa"/>
          </w:tcPr>
          <w:p w14:paraId="4D70CD1C"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8</w:t>
            </w:r>
          </w:p>
        </w:tc>
        <w:tc>
          <w:tcPr>
            <w:tcW w:w="650" w:type="dxa"/>
          </w:tcPr>
          <w:p w14:paraId="7B7999FD"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4</w:t>
            </w:r>
          </w:p>
        </w:tc>
        <w:tc>
          <w:tcPr>
            <w:tcW w:w="650" w:type="dxa"/>
          </w:tcPr>
          <w:p w14:paraId="0315718E"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4</w:t>
            </w:r>
          </w:p>
        </w:tc>
      </w:tr>
      <w:tr w:rsidR="006D46CC" w:rsidRPr="006B1804" w14:paraId="47B51996" w14:textId="77777777" w:rsidTr="00D86AB4">
        <w:tc>
          <w:tcPr>
            <w:cnfStyle w:val="001000000000" w:firstRow="0" w:lastRow="0" w:firstColumn="1" w:lastColumn="0" w:oddVBand="0" w:evenVBand="0" w:oddHBand="0" w:evenHBand="0" w:firstRowFirstColumn="0" w:firstRowLastColumn="0" w:lastRowFirstColumn="0" w:lastRowLastColumn="0"/>
            <w:tcW w:w="2830" w:type="dxa"/>
          </w:tcPr>
          <w:p w14:paraId="106DA52E" w14:textId="77777777" w:rsidR="006D46CC" w:rsidRPr="006B1804" w:rsidRDefault="006D46CC" w:rsidP="00D86AB4">
            <w:pPr>
              <w:rPr>
                <w:rFonts w:cstheme="minorHAnsi"/>
                <w:sz w:val="18"/>
                <w:szCs w:val="18"/>
              </w:rPr>
            </w:pPr>
            <w:r w:rsidRPr="006B1804">
              <w:rPr>
                <w:rFonts w:cstheme="minorHAnsi"/>
                <w:sz w:val="18"/>
                <w:szCs w:val="18"/>
              </w:rPr>
              <w:t>Omtale av barn (4.8)</w:t>
            </w:r>
          </w:p>
        </w:tc>
        <w:tc>
          <w:tcPr>
            <w:tcW w:w="649" w:type="dxa"/>
          </w:tcPr>
          <w:p w14:paraId="59669540"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4F78934A"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5FB74BF5"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15E9DA30"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4764114B"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64F84A61"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244A46CD"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11</w:t>
            </w:r>
          </w:p>
        </w:tc>
        <w:tc>
          <w:tcPr>
            <w:tcW w:w="650" w:type="dxa"/>
          </w:tcPr>
          <w:p w14:paraId="508AFEF6"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w:t>
            </w:r>
          </w:p>
        </w:tc>
        <w:tc>
          <w:tcPr>
            <w:tcW w:w="650" w:type="dxa"/>
          </w:tcPr>
          <w:p w14:paraId="7F64110F"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6</w:t>
            </w:r>
          </w:p>
        </w:tc>
        <w:tc>
          <w:tcPr>
            <w:tcW w:w="650" w:type="dxa"/>
          </w:tcPr>
          <w:p w14:paraId="3CEF69A8"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4</w:t>
            </w:r>
          </w:p>
        </w:tc>
      </w:tr>
      <w:tr w:rsidR="006D46CC" w:rsidRPr="006B1804" w14:paraId="78D68A3E" w14:textId="77777777" w:rsidTr="00D86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9A37B3E" w14:textId="77777777" w:rsidR="006D46CC" w:rsidRPr="006B1804" w:rsidRDefault="006D46CC" w:rsidP="00D86AB4">
            <w:pPr>
              <w:rPr>
                <w:rFonts w:cstheme="minorHAnsi"/>
                <w:sz w:val="18"/>
                <w:szCs w:val="18"/>
              </w:rPr>
            </w:pPr>
            <w:r w:rsidRPr="006B1804">
              <w:rPr>
                <w:rFonts w:cstheme="minorHAnsi"/>
                <w:sz w:val="18"/>
                <w:szCs w:val="18"/>
              </w:rPr>
              <w:t>Titler som går for langt (4.4)</w:t>
            </w:r>
          </w:p>
        </w:tc>
        <w:tc>
          <w:tcPr>
            <w:tcW w:w="649" w:type="dxa"/>
          </w:tcPr>
          <w:p w14:paraId="5FBBB4A4"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3F0DDD7B"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11F692B9"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3B679148"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0F3D5B57"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14:paraId="3FE5C676"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14:paraId="6CFB7CFF"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9</w:t>
            </w:r>
          </w:p>
        </w:tc>
        <w:tc>
          <w:tcPr>
            <w:tcW w:w="650" w:type="dxa"/>
          </w:tcPr>
          <w:p w14:paraId="06F74491"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w:t>
            </w:r>
          </w:p>
        </w:tc>
        <w:tc>
          <w:tcPr>
            <w:tcW w:w="650" w:type="dxa"/>
          </w:tcPr>
          <w:p w14:paraId="570E20F4"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7</w:t>
            </w:r>
          </w:p>
        </w:tc>
        <w:tc>
          <w:tcPr>
            <w:tcW w:w="650" w:type="dxa"/>
          </w:tcPr>
          <w:p w14:paraId="541305E8"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5</w:t>
            </w:r>
          </w:p>
        </w:tc>
      </w:tr>
      <w:tr w:rsidR="006D46CC" w:rsidRPr="006B1804" w14:paraId="79205101" w14:textId="77777777" w:rsidTr="00D86AB4">
        <w:tc>
          <w:tcPr>
            <w:cnfStyle w:val="001000000000" w:firstRow="0" w:lastRow="0" w:firstColumn="1" w:lastColumn="0" w:oddVBand="0" w:evenVBand="0" w:oddHBand="0" w:evenHBand="0" w:firstRowFirstColumn="0" w:firstRowLastColumn="0" w:lastRowFirstColumn="0" w:lastRowLastColumn="0"/>
            <w:tcW w:w="2830" w:type="dxa"/>
          </w:tcPr>
          <w:p w14:paraId="59825B1E" w14:textId="77777777" w:rsidR="006D46CC" w:rsidRPr="006B1804" w:rsidRDefault="006D46CC" w:rsidP="00D86AB4">
            <w:pPr>
              <w:rPr>
                <w:rFonts w:cstheme="minorHAnsi"/>
                <w:sz w:val="18"/>
                <w:szCs w:val="18"/>
              </w:rPr>
            </w:pPr>
            <w:r w:rsidRPr="006B1804">
              <w:rPr>
                <w:rFonts w:cstheme="minorHAnsi"/>
                <w:sz w:val="18"/>
                <w:szCs w:val="18"/>
              </w:rPr>
              <w:t>Tekstreklame mv (2.6, 2.7, 2.8)</w:t>
            </w:r>
          </w:p>
        </w:tc>
        <w:tc>
          <w:tcPr>
            <w:tcW w:w="649" w:type="dxa"/>
          </w:tcPr>
          <w:p w14:paraId="78EE6BA1"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6DA4089B"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48EB0BBC"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14:paraId="7C2DF4A6"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0A0F7DD8"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10</w:t>
            </w:r>
          </w:p>
        </w:tc>
        <w:tc>
          <w:tcPr>
            <w:tcW w:w="650" w:type="dxa"/>
          </w:tcPr>
          <w:p w14:paraId="0F5B6C90"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4160806B"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2E2B53E0"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8</w:t>
            </w:r>
          </w:p>
        </w:tc>
        <w:tc>
          <w:tcPr>
            <w:tcW w:w="650" w:type="dxa"/>
          </w:tcPr>
          <w:p w14:paraId="4F3D8B65"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w:t>
            </w:r>
          </w:p>
        </w:tc>
        <w:tc>
          <w:tcPr>
            <w:tcW w:w="650" w:type="dxa"/>
          </w:tcPr>
          <w:p w14:paraId="0719856D"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0</w:t>
            </w:r>
          </w:p>
        </w:tc>
      </w:tr>
      <w:tr w:rsidR="006D46CC" w:rsidRPr="006B1804" w14:paraId="4A1B6601" w14:textId="77777777" w:rsidTr="00D86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D08C38" w14:textId="77777777" w:rsidR="006D46CC" w:rsidRPr="006B1804" w:rsidRDefault="006D46CC" w:rsidP="00D86AB4">
            <w:pPr>
              <w:rPr>
                <w:rFonts w:cstheme="minorHAnsi"/>
                <w:sz w:val="18"/>
                <w:szCs w:val="18"/>
              </w:rPr>
            </w:pPr>
            <w:r w:rsidRPr="006B1804">
              <w:rPr>
                <w:rFonts w:cstheme="minorHAnsi"/>
                <w:sz w:val="18"/>
                <w:szCs w:val="18"/>
              </w:rPr>
              <w:t>Privatliv (4.3)</w:t>
            </w:r>
          </w:p>
        </w:tc>
        <w:tc>
          <w:tcPr>
            <w:tcW w:w="649" w:type="dxa"/>
          </w:tcPr>
          <w:p w14:paraId="46A04019"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0CC7CD50"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681C1B73"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1955FD1F"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12DC48C9"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27E0F52D"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7C2A94FD"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08A29F5B"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6</w:t>
            </w:r>
          </w:p>
        </w:tc>
        <w:tc>
          <w:tcPr>
            <w:tcW w:w="650" w:type="dxa"/>
          </w:tcPr>
          <w:p w14:paraId="61C819D5"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w:t>
            </w:r>
          </w:p>
        </w:tc>
        <w:tc>
          <w:tcPr>
            <w:tcW w:w="650" w:type="dxa"/>
          </w:tcPr>
          <w:p w14:paraId="5493EDEC"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w:t>
            </w:r>
          </w:p>
        </w:tc>
      </w:tr>
      <w:tr w:rsidR="006D46CC" w:rsidRPr="006B1804" w14:paraId="04C36E1D" w14:textId="77777777" w:rsidTr="00D86AB4">
        <w:tc>
          <w:tcPr>
            <w:cnfStyle w:val="001000000000" w:firstRow="0" w:lastRow="0" w:firstColumn="1" w:lastColumn="0" w:oddVBand="0" w:evenVBand="0" w:oddHBand="0" w:evenHBand="0" w:firstRowFirstColumn="0" w:firstRowLastColumn="0" w:lastRowFirstColumn="0" w:lastRowLastColumn="0"/>
            <w:tcW w:w="2830" w:type="dxa"/>
          </w:tcPr>
          <w:p w14:paraId="18250417" w14:textId="77777777" w:rsidR="006D46CC" w:rsidRPr="006B1804" w:rsidRDefault="006D46CC" w:rsidP="00D86AB4">
            <w:pPr>
              <w:rPr>
                <w:rFonts w:cstheme="minorHAnsi"/>
                <w:sz w:val="18"/>
                <w:szCs w:val="18"/>
              </w:rPr>
            </w:pPr>
            <w:r w:rsidRPr="006B1804">
              <w:rPr>
                <w:rFonts w:cstheme="minorHAnsi"/>
                <w:sz w:val="18"/>
                <w:szCs w:val="18"/>
              </w:rPr>
              <w:t>Identifisering (4.7)</w:t>
            </w:r>
          </w:p>
        </w:tc>
        <w:tc>
          <w:tcPr>
            <w:tcW w:w="649" w:type="dxa"/>
          </w:tcPr>
          <w:p w14:paraId="5F1AA405"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1C134077"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299CD73E"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14:paraId="00FA4057"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1B8302C7"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8</w:t>
            </w:r>
          </w:p>
        </w:tc>
        <w:tc>
          <w:tcPr>
            <w:tcW w:w="650" w:type="dxa"/>
          </w:tcPr>
          <w:p w14:paraId="0C0E567A"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1D183E8E"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4624A092"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4</w:t>
            </w:r>
          </w:p>
        </w:tc>
        <w:tc>
          <w:tcPr>
            <w:tcW w:w="650" w:type="dxa"/>
          </w:tcPr>
          <w:p w14:paraId="0630CE1B"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w:t>
            </w:r>
          </w:p>
        </w:tc>
        <w:tc>
          <w:tcPr>
            <w:tcW w:w="650" w:type="dxa"/>
          </w:tcPr>
          <w:p w14:paraId="195FA180"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0</w:t>
            </w:r>
          </w:p>
        </w:tc>
      </w:tr>
      <w:tr w:rsidR="006D46CC" w:rsidRPr="006B1804" w14:paraId="6A173983" w14:textId="77777777" w:rsidTr="00D86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864145E" w14:textId="77777777" w:rsidR="006D46CC" w:rsidRPr="006B1804" w:rsidRDefault="006D46CC" w:rsidP="00D86AB4">
            <w:pPr>
              <w:rPr>
                <w:rFonts w:cstheme="minorHAnsi"/>
                <w:sz w:val="18"/>
                <w:szCs w:val="18"/>
              </w:rPr>
            </w:pPr>
            <w:r w:rsidRPr="006B1804">
              <w:rPr>
                <w:rFonts w:cstheme="minorHAnsi"/>
                <w:sz w:val="18"/>
                <w:szCs w:val="18"/>
              </w:rPr>
              <w:t>Tilsvar (4.15)</w:t>
            </w:r>
          </w:p>
        </w:tc>
        <w:tc>
          <w:tcPr>
            <w:tcW w:w="649" w:type="dxa"/>
          </w:tcPr>
          <w:p w14:paraId="126E3F14"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2A76AF72"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26355F57"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6897458C"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0E540DDD"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49A49061"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4943C2D0"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47957CC7"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3</w:t>
            </w:r>
          </w:p>
        </w:tc>
        <w:tc>
          <w:tcPr>
            <w:tcW w:w="650" w:type="dxa"/>
          </w:tcPr>
          <w:p w14:paraId="4CE0C89E"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w:t>
            </w:r>
          </w:p>
        </w:tc>
        <w:tc>
          <w:tcPr>
            <w:tcW w:w="650" w:type="dxa"/>
          </w:tcPr>
          <w:p w14:paraId="667D2592"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3</w:t>
            </w:r>
          </w:p>
        </w:tc>
      </w:tr>
      <w:tr w:rsidR="006D46CC" w:rsidRPr="006B1804" w14:paraId="2B71965E" w14:textId="77777777" w:rsidTr="00D86AB4">
        <w:tc>
          <w:tcPr>
            <w:cnfStyle w:val="001000000000" w:firstRow="0" w:lastRow="0" w:firstColumn="1" w:lastColumn="0" w:oddVBand="0" w:evenVBand="0" w:oddHBand="0" w:evenHBand="0" w:firstRowFirstColumn="0" w:firstRowLastColumn="0" w:lastRowFirstColumn="0" w:lastRowLastColumn="0"/>
            <w:tcW w:w="2830" w:type="dxa"/>
          </w:tcPr>
          <w:p w14:paraId="180650E0" w14:textId="77777777" w:rsidR="006D46CC" w:rsidRPr="006B1804" w:rsidRDefault="006D46CC" w:rsidP="00D86AB4">
            <w:pPr>
              <w:rPr>
                <w:rFonts w:cstheme="minorHAnsi"/>
                <w:sz w:val="18"/>
                <w:szCs w:val="18"/>
              </w:rPr>
            </w:pPr>
            <w:r w:rsidRPr="006B1804">
              <w:rPr>
                <w:rFonts w:cstheme="minorHAnsi"/>
                <w:sz w:val="18"/>
                <w:szCs w:val="18"/>
              </w:rPr>
              <w:t>Rettelser/beklagelse (4.13)</w:t>
            </w:r>
          </w:p>
        </w:tc>
        <w:tc>
          <w:tcPr>
            <w:tcW w:w="649" w:type="dxa"/>
          </w:tcPr>
          <w:p w14:paraId="455965A2"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119CE3E7"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4ADFC58C"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6</w:t>
            </w:r>
          </w:p>
        </w:tc>
        <w:tc>
          <w:tcPr>
            <w:tcW w:w="650" w:type="dxa"/>
          </w:tcPr>
          <w:p w14:paraId="05AA6148"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7462BD54"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0B0625DF"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05E79449"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203077CF"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w:t>
            </w:r>
          </w:p>
        </w:tc>
        <w:tc>
          <w:tcPr>
            <w:tcW w:w="650" w:type="dxa"/>
          </w:tcPr>
          <w:p w14:paraId="7E70F804"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5</w:t>
            </w:r>
          </w:p>
        </w:tc>
        <w:tc>
          <w:tcPr>
            <w:tcW w:w="650" w:type="dxa"/>
          </w:tcPr>
          <w:p w14:paraId="4EE7BE05"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w:t>
            </w:r>
          </w:p>
        </w:tc>
      </w:tr>
      <w:tr w:rsidR="006D46CC" w:rsidRPr="006B1804" w14:paraId="1EE08F41" w14:textId="77777777" w:rsidTr="00D86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FA251BD" w14:textId="77777777" w:rsidR="006D46CC" w:rsidRPr="006B1804" w:rsidRDefault="006D46CC" w:rsidP="00D86AB4">
            <w:pPr>
              <w:rPr>
                <w:rFonts w:cstheme="minorHAnsi"/>
                <w:sz w:val="18"/>
                <w:szCs w:val="18"/>
              </w:rPr>
            </w:pPr>
            <w:r w:rsidRPr="006B1804">
              <w:rPr>
                <w:rFonts w:cstheme="minorHAnsi"/>
                <w:sz w:val="18"/>
                <w:szCs w:val="18"/>
              </w:rPr>
              <w:t>Virkning på ofre mv (4.6)</w:t>
            </w:r>
          </w:p>
        </w:tc>
        <w:tc>
          <w:tcPr>
            <w:tcW w:w="649" w:type="dxa"/>
          </w:tcPr>
          <w:p w14:paraId="5126A556"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52A1C0BD"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226BED1A"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2173BB24"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6FDF0C7F"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5</w:t>
            </w:r>
          </w:p>
        </w:tc>
        <w:tc>
          <w:tcPr>
            <w:tcW w:w="650" w:type="dxa"/>
          </w:tcPr>
          <w:p w14:paraId="5AEF5BB9"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2B9E9E27"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7F25FEC1"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w:t>
            </w:r>
          </w:p>
        </w:tc>
        <w:tc>
          <w:tcPr>
            <w:tcW w:w="650" w:type="dxa"/>
          </w:tcPr>
          <w:p w14:paraId="6FAB21FB"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w:t>
            </w:r>
          </w:p>
        </w:tc>
        <w:tc>
          <w:tcPr>
            <w:tcW w:w="650" w:type="dxa"/>
          </w:tcPr>
          <w:p w14:paraId="13437B5E"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w:t>
            </w:r>
          </w:p>
        </w:tc>
      </w:tr>
      <w:tr w:rsidR="006D46CC" w:rsidRPr="006B1804" w14:paraId="18A8FFCC" w14:textId="77777777" w:rsidTr="00D86AB4">
        <w:tc>
          <w:tcPr>
            <w:cnfStyle w:val="001000000000" w:firstRow="0" w:lastRow="0" w:firstColumn="1" w:lastColumn="0" w:oddVBand="0" w:evenVBand="0" w:oddHBand="0" w:evenHBand="0" w:firstRowFirstColumn="0" w:firstRowLastColumn="0" w:lastRowFirstColumn="0" w:lastRowLastColumn="0"/>
            <w:tcW w:w="2830" w:type="dxa"/>
          </w:tcPr>
          <w:p w14:paraId="27E47CBE" w14:textId="77777777" w:rsidR="006D46CC" w:rsidRPr="006B1804" w:rsidRDefault="006D46CC" w:rsidP="00D86AB4">
            <w:pPr>
              <w:rPr>
                <w:rFonts w:cstheme="minorHAnsi"/>
                <w:sz w:val="18"/>
                <w:szCs w:val="18"/>
              </w:rPr>
            </w:pPr>
            <w:r w:rsidRPr="006B1804">
              <w:rPr>
                <w:rFonts w:cstheme="minorHAnsi"/>
                <w:sz w:val="18"/>
                <w:szCs w:val="18"/>
              </w:rPr>
              <w:t>Nettdebatt mv (4.17)</w:t>
            </w:r>
          </w:p>
        </w:tc>
        <w:tc>
          <w:tcPr>
            <w:tcW w:w="649" w:type="dxa"/>
          </w:tcPr>
          <w:p w14:paraId="03924D7C"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1EB333F7"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5BDD3AC2"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51240EE0"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6F5B7E84"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3</w:t>
            </w:r>
          </w:p>
        </w:tc>
        <w:tc>
          <w:tcPr>
            <w:tcW w:w="650" w:type="dxa"/>
          </w:tcPr>
          <w:p w14:paraId="2411714F"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0</w:t>
            </w:r>
          </w:p>
        </w:tc>
        <w:tc>
          <w:tcPr>
            <w:tcW w:w="650" w:type="dxa"/>
          </w:tcPr>
          <w:p w14:paraId="4C34B825"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1D89321E" w14:textId="77777777" w:rsidR="006D46CC" w:rsidRPr="006B1804"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w:t>
            </w:r>
          </w:p>
        </w:tc>
        <w:tc>
          <w:tcPr>
            <w:tcW w:w="650" w:type="dxa"/>
          </w:tcPr>
          <w:p w14:paraId="33547819"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w:t>
            </w:r>
          </w:p>
        </w:tc>
        <w:tc>
          <w:tcPr>
            <w:tcW w:w="650" w:type="dxa"/>
          </w:tcPr>
          <w:p w14:paraId="4A9030B2" w14:textId="77777777" w:rsidR="006D46CC" w:rsidRDefault="006D46CC" w:rsidP="00D86AB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4</w:t>
            </w:r>
          </w:p>
        </w:tc>
      </w:tr>
      <w:tr w:rsidR="006D46CC" w:rsidRPr="006B1804" w14:paraId="746C7479" w14:textId="77777777" w:rsidTr="00D86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669F480" w14:textId="77777777" w:rsidR="006D46CC" w:rsidRPr="006B1804" w:rsidRDefault="006D46CC" w:rsidP="00D86AB4">
            <w:pPr>
              <w:rPr>
                <w:rFonts w:cstheme="minorHAnsi"/>
                <w:sz w:val="18"/>
                <w:szCs w:val="18"/>
              </w:rPr>
            </w:pPr>
            <w:r w:rsidRPr="006B1804">
              <w:rPr>
                <w:rFonts w:cstheme="minorHAnsi"/>
                <w:sz w:val="18"/>
                <w:szCs w:val="18"/>
              </w:rPr>
              <w:t>Bilder (4.10, 4.11, 4.12)</w:t>
            </w:r>
          </w:p>
        </w:tc>
        <w:tc>
          <w:tcPr>
            <w:tcW w:w="649" w:type="dxa"/>
          </w:tcPr>
          <w:p w14:paraId="49D59F9A"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2358AD44"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1BFBC6C6"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2</w:t>
            </w:r>
          </w:p>
        </w:tc>
        <w:tc>
          <w:tcPr>
            <w:tcW w:w="650" w:type="dxa"/>
          </w:tcPr>
          <w:p w14:paraId="25054ED5"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57ADFDFF"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4</w:t>
            </w:r>
          </w:p>
        </w:tc>
        <w:tc>
          <w:tcPr>
            <w:tcW w:w="650" w:type="dxa"/>
          </w:tcPr>
          <w:p w14:paraId="48F5F774"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7</w:t>
            </w:r>
          </w:p>
        </w:tc>
        <w:tc>
          <w:tcPr>
            <w:tcW w:w="650" w:type="dxa"/>
          </w:tcPr>
          <w:p w14:paraId="1F22F27C"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B1804">
              <w:rPr>
                <w:rFonts w:cstheme="minorHAnsi"/>
                <w:sz w:val="18"/>
                <w:szCs w:val="18"/>
              </w:rPr>
              <w:t>1</w:t>
            </w:r>
          </w:p>
        </w:tc>
        <w:tc>
          <w:tcPr>
            <w:tcW w:w="650" w:type="dxa"/>
          </w:tcPr>
          <w:p w14:paraId="1ABD549E" w14:textId="77777777" w:rsidR="006D46CC" w:rsidRPr="006B1804"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w:t>
            </w:r>
          </w:p>
        </w:tc>
        <w:tc>
          <w:tcPr>
            <w:tcW w:w="650" w:type="dxa"/>
          </w:tcPr>
          <w:p w14:paraId="6C63F582"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w:t>
            </w:r>
          </w:p>
        </w:tc>
        <w:tc>
          <w:tcPr>
            <w:tcW w:w="650" w:type="dxa"/>
          </w:tcPr>
          <w:p w14:paraId="51CE5A56" w14:textId="77777777" w:rsidR="006D46CC" w:rsidRDefault="006D46CC" w:rsidP="00D86AB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w:t>
            </w:r>
          </w:p>
        </w:tc>
      </w:tr>
    </w:tbl>
    <w:p w14:paraId="4314B5FD" w14:textId="77777777" w:rsidR="000316C2" w:rsidRDefault="000316C2" w:rsidP="006D46CC">
      <w:pPr>
        <w:spacing w:after="0" w:line="240" w:lineRule="auto"/>
        <w:rPr>
          <w:rFonts w:cstheme="minorHAnsi"/>
          <w:sz w:val="20"/>
          <w:szCs w:val="20"/>
        </w:rPr>
      </w:pPr>
    </w:p>
    <w:p w14:paraId="44F7FB6F" w14:textId="732DE770" w:rsidR="006D46CC" w:rsidRPr="006B1804" w:rsidRDefault="006D46CC" w:rsidP="006D46CC">
      <w:pPr>
        <w:spacing w:after="0" w:line="240" w:lineRule="auto"/>
        <w:rPr>
          <w:rFonts w:cstheme="minorHAnsi"/>
          <w:i/>
          <w:sz w:val="20"/>
          <w:szCs w:val="20"/>
        </w:rPr>
      </w:pPr>
      <w:r w:rsidRPr="006B1804">
        <w:rPr>
          <w:rFonts w:cstheme="minorHAnsi"/>
          <w:sz w:val="20"/>
          <w:szCs w:val="20"/>
        </w:rPr>
        <w:t xml:space="preserve">Tabell 2: Antall brudd for utvalgte punkter i Vær Varsom-plakaten, sortert etter antall fellelser siste år.  </w:t>
      </w:r>
      <w:r w:rsidRPr="006B1804">
        <w:rPr>
          <w:rFonts w:cstheme="minorHAnsi"/>
          <w:i/>
          <w:sz w:val="20"/>
          <w:szCs w:val="20"/>
        </w:rPr>
        <w:t xml:space="preserve">(Kilde: Norsk Presseforbund, </w:t>
      </w:r>
      <w:hyperlink r:id="rId15" w:history="1">
        <w:r w:rsidRPr="006B1804">
          <w:rPr>
            <w:rStyle w:val="Hyperkobling"/>
            <w:rFonts w:cstheme="minorHAnsi"/>
            <w:i/>
            <w:sz w:val="20"/>
            <w:szCs w:val="20"/>
          </w:rPr>
          <w:t>www.presse.no</w:t>
        </w:r>
      </w:hyperlink>
      <w:r w:rsidRPr="006B1804">
        <w:rPr>
          <w:rFonts w:cstheme="minorHAnsi"/>
          <w:i/>
          <w:sz w:val="20"/>
          <w:szCs w:val="20"/>
        </w:rPr>
        <w:t>)</w:t>
      </w:r>
    </w:p>
    <w:p w14:paraId="6E3A1301" w14:textId="77777777" w:rsidR="006D46CC" w:rsidRDefault="006D46CC" w:rsidP="00D426D1">
      <w:pPr>
        <w:rPr>
          <w:rFonts w:cstheme="minorHAnsi"/>
          <w:sz w:val="24"/>
        </w:rPr>
      </w:pPr>
    </w:p>
    <w:p w14:paraId="04B793B4" w14:textId="77777777" w:rsidR="000316C2" w:rsidRDefault="000316C2" w:rsidP="00D426D1">
      <w:pPr>
        <w:rPr>
          <w:rFonts w:cstheme="minorHAnsi"/>
          <w:sz w:val="24"/>
        </w:rPr>
      </w:pPr>
    </w:p>
    <w:p w14:paraId="0972AC0C" w14:textId="3F1FF931" w:rsidR="00FC7572" w:rsidRPr="00FC7572" w:rsidRDefault="00FC7572" w:rsidP="00D426D1">
      <w:pPr>
        <w:contextualSpacing/>
        <w:rPr>
          <w:rFonts w:cstheme="minorHAnsi"/>
          <w:sz w:val="36"/>
          <w:szCs w:val="36"/>
        </w:rPr>
      </w:pPr>
      <w:proofErr w:type="spellStart"/>
      <w:r>
        <w:rPr>
          <w:rFonts w:cstheme="minorHAnsi"/>
          <w:sz w:val="36"/>
          <w:szCs w:val="36"/>
        </w:rPr>
        <w:t>Oppsiktvekkende</w:t>
      </w:r>
      <w:proofErr w:type="spellEnd"/>
      <w:r>
        <w:rPr>
          <w:rFonts w:cstheme="minorHAnsi"/>
          <w:sz w:val="36"/>
          <w:szCs w:val="36"/>
        </w:rPr>
        <w:t xml:space="preserve"> tall på flere VVP-punkter</w:t>
      </w:r>
    </w:p>
    <w:p w14:paraId="2C3BAF50" w14:textId="7ADC2DE5" w:rsidR="00735A2D" w:rsidRDefault="00B07AD7" w:rsidP="00D426D1">
      <w:pPr>
        <w:contextualSpacing/>
        <w:rPr>
          <w:rFonts w:cstheme="minorHAnsi"/>
          <w:sz w:val="24"/>
        </w:rPr>
      </w:pPr>
      <w:r>
        <w:rPr>
          <w:rFonts w:cstheme="minorHAnsi"/>
          <w:sz w:val="24"/>
        </w:rPr>
        <w:t>Dersom vi hever oss over detaljnivået og ser det store bildet, så er PFU-statistikken for 2019 og 2020</w:t>
      </w:r>
      <w:r w:rsidR="00FC7572">
        <w:rPr>
          <w:rFonts w:cstheme="minorHAnsi"/>
          <w:sz w:val="24"/>
        </w:rPr>
        <w:t xml:space="preserve"> til dels</w:t>
      </w:r>
      <w:r>
        <w:rPr>
          <w:rFonts w:cstheme="minorHAnsi"/>
          <w:sz w:val="24"/>
        </w:rPr>
        <w:t xml:space="preserve"> </w:t>
      </w:r>
      <w:proofErr w:type="spellStart"/>
      <w:r>
        <w:rPr>
          <w:rFonts w:cstheme="minorHAnsi"/>
          <w:sz w:val="24"/>
        </w:rPr>
        <w:t>oppsiktvekkende</w:t>
      </w:r>
      <w:proofErr w:type="spellEnd"/>
      <w:r>
        <w:rPr>
          <w:rFonts w:cstheme="minorHAnsi"/>
          <w:sz w:val="24"/>
        </w:rPr>
        <w:t xml:space="preserve"> lesning</w:t>
      </w:r>
      <w:r w:rsidR="00ED7A06">
        <w:rPr>
          <w:rFonts w:cstheme="minorHAnsi"/>
          <w:sz w:val="24"/>
        </w:rPr>
        <w:t>.</w:t>
      </w:r>
    </w:p>
    <w:p w14:paraId="2B1F0E30" w14:textId="37EAAA7A" w:rsidR="00ED7A06" w:rsidRDefault="00ED7A06" w:rsidP="00ED7A06">
      <w:pPr>
        <w:pStyle w:val="Listeavsnitt"/>
        <w:numPr>
          <w:ilvl w:val="0"/>
          <w:numId w:val="1"/>
        </w:numPr>
        <w:rPr>
          <w:rFonts w:cstheme="minorHAnsi"/>
          <w:sz w:val="24"/>
        </w:rPr>
      </w:pPr>
      <w:r>
        <w:rPr>
          <w:rFonts w:cstheme="minorHAnsi"/>
          <w:sz w:val="24"/>
        </w:rPr>
        <w:t xml:space="preserve">Antallet fellende uttalelser </w:t>
      </w:r>
      <w:r w:rsidR="00160E34">
        <w:rPr>
          <w:rFonts w:cstheme="minorHAnsi"/>
          <w:sz w:val="24"/>
        </w:rPr>
        <w:t>for 2019 og 2020 samlet ville vært redusert fra</w:t>
      </w:r>
      <w:r w:rsidR="00AC7D1A">
        <w:rPr>
          <w:rFonts w:cstheme="minorHAnsi"/>
          <w:sz w:val="24"/>
        </w:rPr>
        <w:t xml:space="preserve"> 107</w:t>
      </w:r>
      <w:r w:rsidR="005476F4">
        <w:rPr>
          <w:rFonts w:cstheme="minorHAnsi"/>
          <w:sz w:val="24"/>
        </w:rPr>
        <w:t xml:space="preserve"> til 6</w:t>
      </w:r>
      <w:r w:rsidR="00AE443B">
        <w:rPr>
          <w:rFonts w:cstheme="minorHAnsi"/>
          <w:sz w:val="24"/>
        </w:rPr>
        <w:t>5</w:t>
      </w:r>
      <w:r w:rsidR="005476F4">
        <w:rPr>
          <w:rFonts w:cstheme="minorHAnsi"/>
          <w:sz w:val="24"/>
        </w:rPr>
        <w:t xml:space="preserve">, dersom vi hadde unngått fellelser på punktene 3.2 og 4.14, altså de to mest sentrale metodepunktene i plakaten. </w:t>
      </w:r>
      <w:r w:rsidR="00FA30D4">
        <w:rPr>
          <w:rFonts w:cstheme="minorHAnsi"/>
          <w:sz w:val="24"/>
        </w:rPr>
        <w:t>I hele 4</w:t>
      </w:r>
      <w:r w:rsidR="00AE443B">
        <w:rPr>
          <w:rFonts w:cstheme="minorHAnsi"/>
          <w:sz w:val="24"/>
        </w:rPr>
        <w:t>2</w:t>
      </w:r>
      <w:r w:rsidR="004B7CC9">
        <w:rPr>
          <w:rFonts w:cstheme="minorHAnsi"/>
          <w:sz w:val="24"/>
        </w:rPr>
        <w:t xml:space="preserve"> av</w:t>
      </w:r>
      <w:r w:rsidR="00FA30D4">
        <w:rPr>
          <w:rFonts w:cstheme="minorHAnsi"/>
          <w:sz w:val="24"/>
        </w:rPr>
        <w:t xml:space="preserve"> sakene er det altså punkt 3.2 eller punkt 4.14 – alene eller sammen – som har resultert i fellelse</w:t>
      </w:r>
      <w:r w:rsidR="00D40CA1">
        <w:rPr>
          <w:rFonts w:cstheme="minorHAnsi"/>
          <w:sz w:val="24"/>
        </w:rPr>
        <w:t xml:space="preserve">, selv om andre punkter kan ha vært tatt opp i klagen. </w:t>
      </w:r>
      <w:r w:rsidR="00DA2445">
        <w:rPr>
          <w:rFonts w:cstheme="minorHAnsi"/>
          <w:sz w:val="24"/>
        </w:rPr>
        <w:t xml:space="preserve">I et litt mer overfladisk perspektiv på den presseetiske debatten er det fort gjort å få inntrykk av at norsk presses største etiske utfordringer er knyttet til </w:t>
      </w:r>
      <w:r w:rsidR="00DA2445">
        <w:rPr>
          <w:rFonts w:cstheme="minorHAnsi"/>
          <w:sz w:val="24"/>
        </w:rPr>
        <w:lastRenderedPageBreak/>
        <w:t xml:space="preserve">urettmessig «uthenging» og identifisering, samt invadering av menneskers privatliv. </w:t>
      </w:r>
      <w:proofErr w:type="spellStart"/>
      <w:r w:rsidR="00DA2445">
        <w:rPr>
          <w:rFonts w:cstheme="minorHAnsi"/>
          <w:sz w:val="24"/>
        </w:rPr>
        <w:t>PFUs</w:t>
      </w:r>
      <w:proofErr w:type="spellEnd"/>
      <w:r w:rsidR="00DA2445">
        <w:rPr>
          <w:rFonts w:cstheme="minorHAnsi"/>
          <w:sz w:val="24"/>
        </w:rPr>
        <w:t xml:space="preserve"> statistikk forteller noe annet.</w:t>
      </w:r>
      <w:r w:rsidR="00EF1161">
        <w:rPr>
          <w:rFonts w:cstheme="minorHAnsi"/>
          <w:sz w:val="24"/>
        </w:rPr>
        <w:t xml:space="preserve"> Vi kommer tilbake til noe av dette </w:t>
      </w:r>
      <w:r w:rsidR="00A64078">
        <w:rPr>
          <w:rFonts w:cstheme="minorHAnsi"/>
          <w:sz w:val="24"/>
        </w:rPr>
        <w:t>senere i denne rapporten</w:t>
      </w:r>
      <w:r w:rsidR="00EF1161">
        <w:rPr>
          <w:rFonts w:cstheme="minorHAnsi"/>
          <w:sz w:val="24"/>
        </w:rPr>
        <w:t>.</w:t>
      </w:r>
      <w:r w:rsidR="00DA2445">
        <w:rPr>
          <w:rFonts w:cstheme="minorHAnsi"/>
          <w:sz w:val="24"/>
        </w:rPr>
        <w:t xml:space="preserve"> Vår største etiske utfordring </w:t>
      </w:r>
      <w:r w:rsidR="00A2758E">
        <w:rPr>
          <w:rFonts w:cstheme="minorHAnsi"/>
          <w:sz w:val="24"/>
        </w:rPr>
        <w:t>ligger i kildearbeidet; å sjekke fakta så grundig som mulig og å sørge for at de som blir utsatt for kritikk får anledning til å svare for seg – samtidig.</w:t>
      </w:r>
      <w:r w:rsidR="00160E34">
        <w:rPr>
          <w:rFonts w:cstheme="minorHAnsi"/>
          <w:sz w:val="24"/>
        </w:rPr>
        <w:t xml:space="preserve"> </w:t>
      </w:r>
      <w:r>
        <w:rPr>
          <w:rFonts w:cstheme="minorHAnsi"/>
          <w:sz w:val="24"/>
        </w:rPr>
        <w:t xml:space="preserve"> </w:t>
      </w:r>
    </w:p>
    <w:p w14:paraId="76D5A16D" w14:textId="77777777" w:rsidR="00EF1161" w:rsidRDefault="00EF1161" w:rsidP="00EF1161">
      <w:pPr>
        <w:pStyle w:val="Listeavsnitt"/>
        <w:rPr>
          <w:rFonts w:cstheme="minorHAnsi"/>
          <w:sz w:val="24"/>
        </w:rPr>
      </w:pPr>
    </w:p>
    <w:p w14:paraId="61700C4B" w14:textId="4FB75CF5" w:rsidR="00ED7A06" w:rsidRPr="00292A51" w:rsidRDefault="00ED7A06" w:rsidP="00ED7A06">
      <w:pPr>
        <w:pStyle w:val="Listeavsnitt"/>
        <w:numPr>
          <w:ilvl w:val="0"/>
          <w:numId w:val="1"/>
        </w:numPr>
        <w:rPr>
          <w:rFonts w:cstheme="minorHAnsi"/>
          <w:sz w:val="24"/>
        </w:rPr>
      </w:pPr>
      <w:r>
        <w:rPr>
          <w:rFonts w:cstheme="minorHAnsi"/>
          <w:sz w:val="24"/>
        </w:rPr>
        <w:t xml:space="preserve">I </w:t>
      </w:r>
      <w:r w:rsidR="001B72A5">
        <w:rPr>
          <w:rFonts w:cstheme="minorHAnsi"/>
          <w:sz w:val="24"/>
        </w:rPr>
        <w:t>12</w:t>
      </w:r>
      <w:r>
        <w:rPr>
          <w:rFonts w:cstheme="minorHAnsi"/>
          <w:sz w:val="24"/>
        </w:rPr>
        <w:t xml:space="preserve"> av d</w:t>
      </w:r>
      <w:r w:rsidR="001B72A5">
        <w:rPr>
          <w:rFonts w:cstheme="minorHAnsi"/>
          <w:sz w:val="24"/>
        </w:rPr>
        <w:t>e 42</w:t>
      </w:r>
      <w:r>
        <w:rPr>
          <w:rFonts w:cstheme="minorHAnsi"/>
          <w:sz w:val="24"/>
        </w:rPr>
        <w:t xml:space="preserve"> sakene</w:t>
      </w:r>
      <w:r w:rsidR="001B72A5">
        <w:rPr>
          <w:rFonts w:cstheme="minorHAnsi"/>
          <w:sz w:val="24"/>
        </w:rPr>
        <w:t xml:space="preserve"> hvor 3.2 eller 4.14 – alene eller sammen – er eneste grunnlag for fellelsen, </w:t>
      </w:r>
      <w:r>
        <w:rPr>
          <w:rFonts w:cstheme="minorHAnsi"/>
          <w:sz w:val="24"/>
        </w:rPr>
        <w:t xml:space="preserve">er det felt på </w:t>
      </w:r>
      <w:r>
        <w:rPr>
          <w:rFonts w:cstheme="minorHAnsi"/>
          <w:sz w:val="24"/>
          <w:u w:val="single"/>
        </w:rPr>
        <w:t>begge</w:t>
      </w:r>
      <w:r>
        <w:rPr>
          <w:rFonts w:cstheme="minorHAnsi"/>
          <w:sz w:val="24"/>
        </w:rPr>
        <w:t xml:space="preserve"> punktene, men</w:t>
      </w:r>
      <w:r w:rsidR="001B72A5">
        <w:rPr>
          <w:rFonts w:cstheme="minorHAnsi"/>
          <w:sz w:val="24"/>
        </w:rPr>
        <w:t xml:space="preserve"> altså</w:t>
      </w:r>
      <w:r>
        <w:rPr>
          <w:rFonts w:cstheme="minorHAnsi"/>
          <w:sz w:val="24"/>
        </w:rPr>
        <w:t xml:space="preserve"> ikke på noen andre punkter. Punkt 3.2 og punkt 4.14 kan altså</w:t>
      </w:r>
      <w:r w:rsidR="00EF1161">
        <w:rPr>
          <w:rFonts w:cstheme="minorHAnsi"/>
          <w:sz w:val="24"/>
        </w:rPr>
        <w:t>, som vi tidligere har sagt,</w:t>
      </w:r>
      <w:r>
        <w:rPr>
          <w:rFonts w:cstheme="minorHAnsi"/>
          <w:sz w:val="24"/>
        </w:rPr>
        <w:t xml:space="preserve"> i sannhet sies å være halvsøsken. Ingen andre kombinasjoner av punkter i VVP opptrer så hyppig som begrunnelse for felling som nettopp disse to.</w:t>
      </w:r>
    </w:p>
    <w:p w14:paraId="0132D441" w14:textId="409AD493" w:rsidR="00BB7CF6" w:rsidRDefault="00735A2D" w:rsidP="00A13BC9">
      <w:pPr>
        <w:spacing w:after="0" w:line="276" w:lineRule="auto"/>
        <w:rPr>
          <w:rFonts w:cstheme="minorHAnsi"/>
          <w:sz w:val="24"/>
        </w:rPr>
      </w:pPr>
      <w:r>
        <w:rPr>
          <w:rFonts w:cstheme="minorHAnsi"/>
          <w:sz w:val="24"/>
        </w:rPr>
        <w:t xml:space="preserve">På de øvrige punktene i Vær Varsom-plakaten er det ellers </w:t>
      </w:r>
      <w:r w:rsidR="0019165F">
        <w:rPr>
          <w:rFonts w:cstheme="minorHAnsi"/>
          <w:sz w:val="24"/>
        </w:rPr>
        <w:t>gjennomgående svært</w:t>
      </w:r>
      <w:r>
        <w:rPr>
          <w:rFonts w:cstheme="minorHAnsi"/>
          <w:sz w:val="24"/>
        </w:rPr>
        <w:t xml:space="preserve"> få fellelser i</w:t>
      </w:r>
      <w:r w:rsidR="00BB7CF6" w:rsidRPr="006B1804">
        <w:rPr>
          <w:rFonts w:cstheme="minorHAnsi"/>
          <w:sz w:val="24"/>
        </w:rPr>
        <w:t xml:space="preserve"> 20</w:t>
      </w:r>
      <w:r w:rsidR="0019165F">
        <w:rPr>
          <w:rFonts w:cstheme="minorHAnsi"/>
          <w:sz w:val="24"/>
        </w:rPr>
        <w:t>19 og 2020</w:t>
      </w:r>
      <w:r w:rsidR="00486434">
        <w:rPr>
          <w:rFonts w:cstheme="minorHAnsi"/>
          <w:sz w:val="24"/>
        </w:rPr>
        <w:t xml:space="preserve">. Statistikken inneholder dessuten en rekke påfallende og </w:t>
      </w:r>
      <w:r w:rsidR="00E30996">
        <w:rPr>
          <w:rFonts w:cstheme="minorHAnsi"/>
          <w:sz w:val="24"/>
        </w:rPr>
        <w:t>ganske o</w:t>
      </w:r>
      <w:r w:rsidR="00536B66">
        <w:rPr>
          <w:rFonts w:cstheme="minorHAnsi"/>
          <w:sz w:val="24"/>
        </w:rPr>
        <w:t xml:space="preserve">verraskende </w:t>
      </w:r>
      <w:r w:rsidR="00E30996">
        <w:rPr>
          <w:rFonts w:cstheme="minorHAnsi"/>
          <w:sz w:val="24"/>
        </w:rPr>
        <w:t>utviklingstrekk</w:t>
      </w:r>
      <w:r w:rsidR="0019165F">
        <w:rPr>
          <w:rFonts w:cstheme="minorHAnsi"/>
          <w:sz w:val="24"/>
        </w:rPr>
        <w:t>:</w:t>
      </w:r>
    </w:p>
    <w:p w14:paraId="2D2DE8D2" w14:textId="77777777" w:rsidR="00A13BC9" w:rsidRPr="006B1804" w:rsidRDefault="00A13BC9" w:rsidP="00A13BC9">
      <w:pPr>
        <w:spacing w:after="0" w:line="276" w:lineRule="auto"/>
        <w:rPr>
          <w:rFonts w:cstheme="minorHAnsi"/>
          <w:sz w:val="24"/>
        </w:rPr>
      </w:pPr>
    </w:p>
    <w:p w14:paraId="6FD42517" w14:textId="1616EE6D" w:rsidR="00192A56" w:rsidRDefault="00192A56" w:rsidP="00A13BC9">
      <w:pPr>
        <w:pStyle w:val="Listeavsnitt"/>
        <w:numPr>
          <w:ilvl w:val="0"/>
          <w:numId w:val="1"/>
        </w:numPr>
        <w:spacing w:after="0" w:line="276" w:lineRule="auto"/>
        <w:rPr>
          <w:rFonts w:cstheme="minorHAnsi"/>
          <w:sz w:val="24"/>
        </w:rPr>
      </w:pPr>
      <w:r>
        <w:rPr>
          <w:rFonts w:cstheme="minorHAnsi"/>
          <w:sz w:val="24"/>
        </w:rPr>
        <w:t xml:space="preserve">Bortsett fra de </w:t>
      </w:r>
      <w:r w:rsidR="00D35DA9">
        <w:rPr>
          <w:rFonts w:cstheme="minorHAnsi"/>
          <w:sz w:val="24"/>
        </w:rPr>
        <w:t>til sammen 41</w:t>
      </w:r>
      <w:r>
        <w:rPr>
          <w:rFonts w:cstheme="minorHAnsi"/>
          <w:sz w:val="24"/>
        </w:rPr>
        <w:t xml:space="preserve"> fellelsene på punkt 3.2 om kildekritikk og opplysningskontroll er det</w:t>
      </w:r>
      <w:r w:rsidR="00272556">
        <w:rPr>
          <w:rFonts w:cstheme="minorHAnsi"/>
          <w:sz w:val="24"/>
        </w:rPr>
        <w:t xml:space="preserve"> i 2019 og 2020</w:t>
      </w:r>
      <w:r>
        <w:rPr>
          <w:rFonts w:cstheme="minorHAnsi"/>
          <w:sz w:val="24"/>
        </w:rPr>
        <w:t xml:space="preserve"> kun </w:t>
      </w:r>
      <w:r w:rsidR="00D35DA9">
        <w:rPr>
          <w:rFonts w:cstheme="minorHAnsi"/>
          <w:sz w:val="24"/>
        </w:rPr>
        <w:t>fem</w:t>
      </w:r>
      <w:r>
        <w:rPr>
          <w:rFonts w:cstheme="minorHAnsi"/>
          <w:sz w:val="24"/>
        </w:rPr>
        <w:t xml:space="preserve"> </w:t>
      </w:r>
      <w:r w:rsidR="00272556">
        <w:rPr>
          <w:rFonts w:cstheme="minorHAnsi"/>
          <w:sz w:val="24"/>
        </w:rPr>
        <w:t xml:space="preserve">saker med </w:t>
      </w:r>
      <w:r>
        <w:rPr>
          <w:rFonts w:cstheme="minorHAnsi"/>
          <w:sz w:val="24"/>
        </w:rPr>
        <w:t xml:space="preserve">fellelser på </w:t>
      </w:r>
      <w:r w:rsidR="00C20EC3">
        <w:rPr>
          <w:rFonts w:cstheme="minorHAnsi"/>
          <w:sz w:val="24"/>
        </w:rPr>
        <w:t>hele kapittel 3 i Vær Varsom-plakaten</w:t>
      </w:r>
      <w:r w:rsidR="00272556">
        <w:rPr>
          <w:rFonts w:cstheme="minorHAnsi"/>
          <w:sz w:val="24"/>
        </w:rPr>
        <w:t>.</w:t>
      </w:r>
      <w:r w:rsidR="00922679">
        <w:rPr>
          <w:rFonts w:cstheme="minorHAnsi"/>
          <w:sz w:val="24"/>
        </w:rPr>
        <w:t xml:space="preserve"> </w:t>
      </w:r>
      <w:r w:rsidR="004E58EC">
        <w:rPr>
          <w:rFonts w:cstheme="minorHAnsi"/>
          <w:sz w:val="24"/>
        </w:rPr>
        <w:t xml:space="preserve"> </w:t>
      </w:r>
      <w:r w:rsidR="00922679">
        <w:rPr>
          <w:rFonts w:cstheme="minorHAnsi"/>
          <w:sz w:val="24"/>
        </w:rPr>
        <w:t>I</w:t>
      </w:r>
      <w:r w:rsidR="00E2520C">
        <w:rPr>
          <w:rFonts w:cstheme="minorHAnsi"/>
          <w:sz w:val="24"/>
        </w:rPr>
        <w:t xml:space="preserve"> den såkalte </w:t>
      </w:r>
      <w:hyperlink r:id="rId16" w:history="1">
        <w:proofErr w:type="spellStart"/>
        <w:r w:rsidR="00E2520C" w:rsidRPr="002763E3">
          <w:rPr>
            <w:rStyle w:val="Hyperkobling"/>
            <w:rFonts w:cstheme="minorHAnsi"/>
            <w:sz w:val="24"/>
          </w:rPr>
          <w:t>Josimar</w:t>
        </w:r>
        <w:proofErr w:type="spellEnd"/>
        <w:r w:rsidR="00536B66">
          <w:rPr>
            <w:rStyle w:val="Hyperkobling"/>
            <w:rFonts w:cstheme="minorHAnsi"/>
            <w:sz w:val="24"/>
          </w:rPr>
          <w:t>-</w:t>
        </w:r>
        <w:r w:rsidR="00E2520C" w:rsidRPr="002763E3">
          <w:rPr>
            <w:rStyle w:val="Hyperkobling"/>
            <w:rFonts w:cstheme="minorHAnsi"/>
            <w:sz w:val="24"/>
          </w:rPr>
          <w:t>saken</w:t>
        </w:r>
      </w:hyperlink>
      <w:r w:rsidR="005C4C17">
        <w:rPr>
          <w:rFonts w:cstheme="minorHAnsi"/>
          <w:sz w:val="24"/>
        </w:rPr>
        <w:t xml:space="preserve"> ble det fellelse på punkt 3.4 og 3.5 om kildevern, og i den såkalte </w:t>
      </w:r>
      <w:hyperlink r:id="rId17" w:history="1">
        <w:r w:rsidR="005C4C17" w:rsidRPr="00773E65">
          <w:rPr>
            <w:rStyle w:val="Hyperkobling"/>
            <w:rFonts w:cstheme="minorHAnsi"/>
            <w:sz w:val="24"/>
          </w:rPr>
          <w:t>Sofie</w:t>
        </w:r>
        <w:r w:rsidR="00536B66">
          <w:rPr>
            <w:rStyle w:val="Hyperkobling"/>
            <w:rFonts w:cstheme="minorHAnsi"/>
            <w:sz w:val="24"/>
          </w:rPr>
          <w:t>-</w:t>
        </w:r>
        <w:r w:rsidR="005C4C17" w:rsidRPr="00773E65">
          <w:rPr>
            <w:rStyle w:val="Hyperkobling"/>
            <w:rFonts w:cstheme="minorHAnsi"/>
            <w:sz w:val="24"/>
          </w:rPr>
          <w:t>saken</w:t>
        </w:r>
      </w:hyperlink>
      <w:r w:rsidR="00773E65">
        <w:rPr>
          <w:rFonts w:cstheme="minorHAnsi"/>
          <w:sz w:val="24"/>
        </w:rPr>
        <w:t xml:space="preserve"> ble VG felt for brudd på fire punkter i kapittel 3</w:t>
      </w:r>
      <w:r w:rsidR="002B6855">
        <w:rPr>
          <w:rFonts w:cstheme="minorHAnsi"/>
          <w:sz w:val="24"/>
        </w:rPr>
        <w:t xml:space="preserve"> (opplysningskontroll, premisser, sitat og hensynsfullhet)</w:t>
      </w:r>
      <w:r w:rsidR="00E2520C">
        <w:rPr>
          <w:rFonts w:cstheme="minorHAnsi"/>
          <w:sz w:val="24"/>
        </w:rPr>
        <w:t>.</w:t>
      </w:r>
      <w:r w:rsidR="00922679">
        <w:rPr>
          <w:rFonts w:cstheme="minorHAnsi"/>
          <w:sz w:val="24"/>
        </w:rPr>
        <w:t xml:space="preserve"> </w:t>
      </w:r>
      <w:r w:rsidR="002B6855">
        <w:rPr>
          <w:rFonts w:cstheme="minorHAnsi"/>
          <w:sz w:val="24"/>
        </w:rPr>
        <w:t>I de tre øvrige</w:t>
      </w:r>
      <w:r w:rsidR="00922679">
        <w:rPr>
          <w:rFonts w:cstheme="minorHAnsi"/>
          <w:sz w:val="24"/>
        </w:rPr>
        <w:t xml:space="preserve"> sakene </w:t>
      </w:r>
      <w:r w:rsidR="002B6855">
        <w:rPr>
          <w:rFonts w:cstheme="minorHAnsi"/>
          <w:sz w:val="24"/>
        </w:rPr>
        <w:t xml:space="preserve">ble </w:t>
      </w:r>
      <w:r w:rsidR="00922679">
        <w:rPr>
          <w:rFonts w:cstheme="minorHAnsi"/>
          <w:sz w:val="24"/>
        </w:rPr>
        <w:t>medie</w:t>
      </w:r>
      <w:r w:rsidR="002B6855">
        <w:rPr>
          <w:rFonts w:cstheme="minorHAnsi"/>
          <w:sz w:val="24"/>
        </w:rPr>
        <w:t>t</w:t>
      </w:r>
      <w:r w:rsidR="00922679">
        <w:rPr>
          <w:rFonts w:cstheme="minorHAnsi"/>
          <w:sz w:val="24"/>
        </w:rPr>
        <w:t xml:space="preserve"> felt for brudd på punkt 3.3 om å klargjøre premissene i intervjusituasjoner og ellers overfor kilder og kontakter (slik det var formulert i den dagjeldende Vær Varsom-plakaten).</w:t>
      </w:r>
      <w:r w:rsidR="00E30996">
        <w:rPr>
          <w:rFonts w:cstheme="minorHAnsi"/>
          <w:sz w:val="24"/>
        </w:rPr>
        <w:t xml:space="preserve"> Det kapittelet i Vær Varsom</w:t>
      </w:r>
      <w:r w:rsidR="00536B66">
        <w:rPr>
          <w:rFonts w:cstheme="minorHAnsi"/>
          <w:sz w:val="24"/>
        </w:rPr>
        <w:t>-</w:t>
      </w:r>
      <w:r w:rsidR="00E30996">
        <w:rPr>
          <w:rFonts w:cstheme="minorHAnsi"/>
          <w:sz w:val="24"/>
        </w:rPr>
        <w:t>plakaten som medieorganisasjonene har brukt mye tid på å revidere de</w:t>
      </w:r>
      <w:r w:rsidR="00520D6B">
        <w:rPr>
          <w:rFonts w:cstheme="minorHAnsi"/>
          <w:sz w:val="24"/>
        </w:rPr>
        <w:t>t siste halvannet året (</w:t>
      </w:r>
      <w:hyperlink r:id="rId18" w:history="1">
        <w:r w:rsidR="00520D6B" w:rsidRPr="00536B66">
          <w:rPr>
            <w:rStyle w:val="Hyperkobling"/>
            <w:rFonts w:cstheme="minorHAnsi"/>
            <w:sz w:val="24"/>
          </w:rPr>
          <w:t>endringene</w:t>
        </w:r>
      </w:hyperlink>
      <w:r w:rsidR="00520D6B">
        <w:rPr>
          <w:rFonts w:cstheme="minorHAnsi"/>
          <w:sz w:val="24"/>
        </w:rPr>
        <w:t xml:space="preserve"> trådte i kraft ved årsskiftet 2020/2021)</w:t>
      </w:r>
      <w:r w:rsidR="0030148C">
        <w:rPr>
          <w:rFonts w:cstheme="minorHAnsi"/>
          <w:sz w:val="24"/>
        </w:rPr>
        <w:t>,</w:t>
      </w:r>
      <w:r w:rsidR="00520D6B">
        <w:rPr>
          <w:rFonts w:cstheme="minorHAnsi"/>
          <w:sz w:val="24"/>
        </w:rPr>
        <w:t xml:space="preserve"> og som </w:t>
      </w:r>
      <w:r w:rsidR="0030148C">
        <w:rPr>
          <w:rFonts w:cstheme="minorHAnsi"/>
          <w:sz w:val="24"/>
        </w:rPr>
        <w:t xml:space="preserve">var et resultat av den såkalte Bar Vulkan-saken, </w:t>
      </w:r>
      <w:r w:rsidR="0070127D">
        <w:rPr>
          <w:rFonts w:cstheme="minorHAnsi"/>
          <w:sz w:val="24"/>
        </w:rPr>
        <w:t>fremstår altså ikke som noen akilleshæl dersom vi forholder oss til PFU-statistikken.</w:t>
      </w:r>
    </w:p>
    <w:p w14:paraId="35D02DBE" w14:textId="77777777" w:rsidR="00AB270C" w:rsidRDefault="00AB270C" w:rsidP="00A13BC9">
      <w:pPr>
        <w:pStyle w:val="Listeavsnitt"/>
        <w:spacing w:after="0" w:line="276" w:lineRule="auto"/>
        <w:rPr>
          <w:rFonts w:cstheme="minorHAnsi"/>
          <w:sz w:val="24"/>
        </w:rPr>
      </w:pPr>
    </w:p>
    <w:p w14:paraId="1FF4CDC3" w14:textId="2D063649" w:rsidR="00A13BC9" w:rsidRPr="006B1804" w:rsidRDefault="0070127D" w:rsidP="00A13BC9">
      <w:pPr>
        <w:pStyle w:val="Listeavsnitt"/>
        <w:numPr>
          <w:ilvl w:val="0"/>
          <w:numId w:val="1"/>
        </w:numPr>
        <w:spacing w:after="0" w:line="276" w:lineRule="auto"/>
        <w:rPr>
          <w:rFonts w:cstheme="minorHAnsi"/>
          <w:sz w:val="24"/>
        </w:rPr>
      </w:pPr>
      <w:r>
        <w:rPr>
          <w:rFonts w:cstheme="minorHAnsi"/>
          <w:sz w:val="24"/>
        </w:rPr>
        <w:t xml:space="preserve">Heller ikke kapittel 2 i plakaten, om </w:t>
      </w:r>
      <w:r w:rsidR="00F5715D">
        <w:rPr>
          <w:rFonts w:cstheme="minorHAnsi"/>
          <w:sz w:val="24"/>
        </w:rPr>
        <w:t xml:space="preserve">integritet og troverdighet, </w:t>
      </w:r>
      <w:r w:rsidR="008C7113">
        <w:rPr>
          <w:rFonts w:cstheme="minorHAnsi"/>
          <w:sz w:val="24"/>
        </w:rPr>
        <w:t xml:space="preserve">er gjenstand for mange fellelser. </w:t>
      </w:r>
      <w:r w:rsidR="002906B9">
        <w:rPr>
          <w:rFonts w:cstheme="minorHAnsi"/>
          <w:sz w:val="24"/>
        </w:rPr>
        <w:t>I 2019 var det seks fellelser etter dette kapittelet, i 2020 var det kun to</w:t>
      </w:r>
      <w:r w:rsidR="00385C7E">
        <w:rPr>
          <w:rFonts w:cstheme="minorHAnsi"/>
          <w:sz w:val="24"/>
        </w:rPr>
        <w:t xml:space="preserve">. Mange spådde at fremveksten av såkalt innholdsmarkedsføring (som altså er reklame) ville </w:t>
      </w:r>
      <w:r w:rsidR="00F75DE2">
        <w:rPr>
          <w:rFonts w:cstheme="minorHAnsi"/>
          <w:sz w:val="24"/>
        </w:rPr>
        <w:t>føre</w:t>
      </w:r>
      <w:r w:rsidR="00385C7E">
        <w:rPr>
          <w:rFonts w:cstheme="minorHAnsi"/>
          <w:sz w:val="24"/>
        </w:rPr>
        <w:t xml:space="preserve"> til nærmest «lovløse» tilstander på annonsemarkedet. </w:t>
      </w:r>
      <w:r w:rsidR="00572C53">
        <w:rPr>
          <w:rFonts w:cstheme="minorHAnsi"/>
          <w:sz w:val="24"/>
        </w:rPr>
        <w:t xml:space="preserve">Etter at PFU hadde en del klagesaker til behandling i årene 2015-2018, og </w:t>
      </w:r>
      <w:r w:rsidR="00790DF6">
        <w:rPr>
          <w:rFonts w:cstheme="minorHAnsi"/>
          <w:sz w:val="24"/>
        </w:rPr>
        <w:t xml:space="preserve">6-10 klager endte med fellelse hvert år, kan det se ut som om dette har funnet sin form og at </w:t>
      </w:r>
      <w:r w:rsidR="00131704">
        <w:rPr>
          <w:rFonts w:cstheme="minorHAnsi"/>
          <w:sz w:val="24"/>
        </w:rPr>
        <w:t>PFU, gjennom sin praksis, har trukket opp grenser som redaksjonene nå forholder seg til</w:t>
      </w:r>
      <w:r w:rsidR="00F75DE2">
        <w:rPr>
          <w:rFonts w:cstheme="minorHAnsi"/>
          <w:sz w:val="24"/>
        </w:rPr>
        <w:t xml:space="preserve"> og som er </w:t>
      </w:r>
      <w:r w:rsidR="006D46CC">
        <w:rPr>
          <w:rFonts w:cstheme="minorHAnsi"/>
          <w:sz w:val="24"/>
        </w:rPr>
        <w:t>begripelige også for publikum</w:t>
      </w:r>
      <w:r w:rsidR="00131704">
        <w:rPr>
          <w:rFonts w:cstheme="minorHAnsi"/>
          <w:sz w:val="24"/>
        </w:rPr>
        <w:t>.</w:t>
      </w:r>
      <w:r w:rsidR="00A13BC9">
        <w:rPr>
          <w:rFonts w:cstheme="minorHAnsi"/>
          <w:sz w:val="24"/>
        </w:rPr>
        <w:t xml:space="preserve"> I 2019 var det én fellelse på «tekstreklamepunktene», punkt 2.6, 2.7 og 2.8 og i </w:t>
      </w:r>
      <w:r w:rsidR="00536B66">
        <w:rPr>
          <w:rFonts w:cstheme="minorHAnsi"/>
          <w:sz w:val="24"/>
        </w:rPr>
        <w:t>2020</w:t>
      </w:r>
      <w:r w:rsidR="00A13BC9">
        <w:rPr>
          <w:rFonts w:cstheme="minorHAnsi"/>
          <w:sz w:val="24"/>
        </w:rPr>
        <w:t xml:space="preserve"> var det ingen.</w:t>
      </w:r>
      <w:r w:rsidR="00AB270C">
        <w:rPr>
          <w:rFonts w:cstheme="minorHAnsi"/>
          <w:sz w:val="24"/>
        </w:rPr>
        <w:t xml:space="preserve"> NR ga i 2015 også ut en egen veileder om dette temaet;</w:t>
      </w:r>
      <w:r w:rsidR="00AB270C" w:rsidRPr="006B1804">
        <w:rPr>
          <w:rFonts w:cstheme="minorHAnsi"/>
          <w:sz w:val="24"/>
        </w:rPr>
        <w:t xml:space="preserve"> </w:t>
      </w:r>
      <w:hyperlink r:id="rId19" w:history="1">
        <w:r w:rsidR="00AB270C" w:rsidRPr="006B1804">
          <w:rPr>
            <w:rStyle w:val="Hyperkobling"/>
            <w:rFonts w:cstheme="minorHAnsi"/>
            <w:sz w:val="24"/>
          </w:rPr>
          <w:t>«Slik skiller du journalistikk og reklame»</w:t>
        </w:r>
      </w:hyperlink>
      <w:r w:rsidR="00AB270C">
        <w:rPr>
          <w:rStyle w:val="Hyperkobling"/>
          <w:rFonts w:cstheme="minorHAnsi"/>
          <w:sz w:val="24"/>
        </w:rPr>
        <w:t>.</w:t>
      </w:r>
      <w:r w:rsidR="00A13BC9">
        <w:rPr>
          <w:rStyle w:val="Hyperkobling"/>
          <w:rFonts w:cstheme="minorHAnsi"/>
          <w:sz w:val="24"/>
        </w:rPr>
        <w:t xml:space="preserve"> </w:t>
      </w:r>
      <w:r w:rsidR="00A13BC9">
        <w:rPr>
          <w:rFonts w:cstheme="minorHAnsi"/>
          <w:sz w:val="24"/>
        </w:rPr>
        <w:t xml:space="preserve"> Den b</w:t>
      </w:r>
      <w:r w:rsidR="00A13BC9" w:rsidRPr="006B1804">
        <w:rPr>
          <w:rFonts w:cstheme="minorHAnsi"/>
          <w:sz w:val="24"/>
        </w:rPr>
        <w:t>ør</w:t>
      </w:r>
      <w:r w:rsidR="00A13BC9">
        <w:rPr>
          <w:rFonts w:cstheme="minorHAnsi"/>
          <w:sz w:val="24"/>
        </w:rPr>
        <w:t xml:space="preserve"> fortsatt</w:t>
      </w:r>
      <w:r w:rsidR="00A13BC9" w:rsidRPr="006B1804">
        <w:rPr>
          <w:rFonts w:cstheme="minorHAnsi"/>
          <w:sz w:val="24"/>
        </w:rPr>
        <w:t xml:space="preserve"> være et nyttig redskap for å unngå </w:t>
      </w:r>
      <w:r w:rsidR="00A13BC9" w:rsidRPr="006B1804">
        <w:rPr>
          <w:rFonts w:cstheme="minorHAnsi"/>
          <w:sz w:val="24"/>
        </w:rPr>
        <w:lastRenderedPageBreak/>
        <w:t xml:space="preserve">fellelser på dette området av presseetikken.  Veilederen </w:t>
      </w:r>
      <w:r w:rsidR="00536B66">
        <w:rPr>
          <w:rFonts w:cstheme="minorHAnsi"/>
          <w:sz w:val="24"/>
        </w:rPr>
        <w:t xml:space="preserve">er forsøkt oppdatert </w:t>
      </w:r>
      <w:r w:rsidR="00A13BC9" w:rsidRPr="006B1804">
        <w:rPr>
          <w:rFonts w:cstheme="minorHAnsi"/>
          <w:sz w:val="24"/>
        </w:rPr>
        <w:t xml:space="preserve">etter hvert som PFU </w:t>
      </w:r>
      <w:proofErr w:type="gramStart"/>
      <w:r w:rsidR="00A13BC9" w:rsidRPr="006B1804">
        <w:rPr>
          <w:rFonts w:cstheme="minorHAnsi"/>
          <w:sz w:val="24"/>
        </w:rPr>
        <w:t>avgir</w:t>
      </w:r>
      <w:proofErr w:type="gramEnd"/>
      <w:r w:rsidR="00A13BC9" w:rsidRPr="006B1804">
        <w:rPr>
          <w:rFonts w:cstheme="minorHAnsi"/>
          <w:sz w:val="24"/>
        </w:rPr>
        <w:t xml:space="preserve"> nye uttalelser.</w:t>
      </w:r>
    </w:p>
    <w:p w14:paraId="20B86712" w14:textId="77777777" w:rsidR="00AB270C" w:rsidRDefault="00AB270C" w:rsidP="00A13BC9">
      <w:pPr>
        <w:pStyle w:val="Listeavsnitt"/>
        <w:spacing w:after="0" w:line="276" w:lineRule="auto"/>
        <w:rPr>
          <w:rFonts w:cstheme="minorHAnsi"/>
          <w:sz w:val="24"/>
        </w:rPr>
      </w:pPr>
    </w:p>
    <w:p w14:paraId="71CFF788" w14:textId="51481414" w:rsidR="007857B6" w:rsidRDefault="00C21CF0" w:rsidP="00A13BC9">
      <w:pPr>
        <w:pStyle w:val="Listeavsnitt"/>
        <w:numPr>
          <w:ilvl w:val="0"/>
          <w:numId w:val="1"/>
        </w:numPr>
        <w:spacing w:after="0" w:line="276" w:lineRule="auto"/>
        <w:rPr>
          <w:rFonts w:cstheme="minorHAnsi"/>
          <w:sz w:val="24"/>
        </w:rPr>
      </w:pPr>
      <w:r>
        <w:rPr>
          <w:rFonts w:cstheme="minorHAnsi"/>
          <w:sz w:val="24"/>
        </w:rPr>
        <w:t xml:space="preserve">Antallet fellelser på </w:t>
      </w:r>
      <w:r w:rsidR="008E4D8E">
        <w:rPr>
          <w:rFonts w:cstheme="minorHAnsi"/>
          <w:sz w:val="24"/>
        </w:rPr>
        <w:t xml:space="preserve">punkt 4.3 om privatliv og stigmatisering </w:t>
      </w:r>
      <w:r>
        <w:rPr>
          <w:rFonts w:cstheme="minorHAnsi"/>
          <w:sz w:val="24"/>
        </w:rPr>
        <w:t>holder seg rekordlavt, selv om det i det offentlige ordskiftet tidvis kan se ut som om dette er et stort problem; kun en fellelse og i 2019 og det samme i 2020.</w:t>
      </w:r>
    </w:p>
    <w:p w14:paraId="55373096" w14:textId="77777777" w:rsidR="00AB270C" w:rsidRPr="006B1804" w:rsidRDefault="00AB270C" w:rsidP="00A13BC9">
      <w:pPr>
        <w:pStyle w:val="Listeavsnitt"/>
        <w:spacing w:after="0" w:line="276" w:lineRule="auto"/>
        <w:rPr>
          <w:rFonts w:cstheme="minorHAnsi"/>
          <w:sz w:val="24"/>
        </w:rPr>
      </w:pPr>
    </w:p>
    <w:p w14:paraId="6B9D5730" w14:textId="414FC4DB" w:rsidR="00191520" w:rsidRDefault="00191520" w:rsidP="00A13BC9">
      <w:pPr>
        <w:pStyle w:val="Listeavsnitt"/>
        <w:numPr>
          <w:ilvl w:val="0"/>
          <w:numId w:val="1"/>
        </w:numPr>
        <w:spacing w:after="0" w:line="276" w:lineRule="auto"/>
        <w:rPr>
          <w:rFonts w:cstheme="minorHAnsi"/>
          <w:sz w:val="24"/>
        </w:rPr>
      </w:pPr>
      <w:r w:rsidRPr="006B1804">
        <w:rPr>
          <w:rFonts w:cstheme="minorHAnsi"/>
          <w:sz w:val="24"/>
        </w:rPr>
        <w:t xml:space="preserve">Det var kun </w:t>
      </w:r>
      <w:r w:rsidR="000C3F0B" w:rsidRPr="006B1804">
        <w:rPr>
          <w:rFonts w:cstheme="minorHAnsi"/>
          <w:sz w:val="24"/>
        </w:rPr>
        <w:t>to</w:t>
      </w:r>
      <w:r w:rsidRPr="006B1804">
        <w:rPr>
          <w:rFonts w:cstheme="minorHAnsi"/>
          <w:sz w:val="24"/>
        </w:rPr>
        <w:t xml:space="preserve"> fellelse</w:t>
      </w:r>
      <w:r w:rsidR="000C3F0B" w:rsidRPr="006B1804">
        <w:rPr>
          <w:rFonts w:cstheme="minorHAnsi"/>
          <w:sz w:val="24"/>
        </w:rPr>
        <w:t>r</w:t>
      </w:r>
      <w:r w:rsidRPr="006B1804">
        <w:rPr>
          <w:rFonts w:cstheme="minorHAnsi"/>
          <w:sz w:val="24"/>
        </w:rPr>
        <w:t xml:space="preserve"> for manglende hensyn til ofre og pårørende i forbindelse med ulykker og kriminalsaker (VVP punkt 4.6). </w:t>
      </w:r>
      <w:r w:rsidR="000C3F0B" w:rsidRPr="006B1804">
        <w:rPr>
          <w:rFonts w:cstheme="minorHAnsi"/>
          <w:sz w:val="24"/>
        </w:rPr>
        <w:t>Tallene har vært lave i mange år.</w:t>
      </w:r>
    </w:p>
    <w:p w14:paraId="2C3FE1A6" w14:textId="77777777" w:rsidR="00AB270C" w:rsidRDefault="00AB270C" w:rsidP="00A13BC9">
      <w:pPr>
        <w:pStyle w:val="Listeavsnitt"/>
        <w:spacing w:after="0" w:line="276" w:lineRule="auto"/>
        <w:rPr>
          <w:rFonts w:cstheme="minorHAnsi"/>
          <w:sz w:val="24"/>
        </w:rPr>
      </w:pPr>
    </w:p>
    <w:p w14:paraId="739075F8" w14:textId="33B5EBE4" w:rsidR="008E4D8E" w:rsidRDefault="008E4D8E" w:rsidP="00A13BC9">
      <w:pPr>
        <w:pStyle w:val="Listeavsnitt"/>
        <w:numPr>
          <w:ilvl w:val="0"/>
          <w:numId w:val="1"/>
        </w:numPr>
        <w:spacing w:after="0" w:line="276" w:lineRule="auto"/>
        <w:rPr>
          <w:rFonts w:cstheme="minorHAnsi"/>
          <w:sz w:val="24"/>
        </w:rPr>
      </w:pPr>
      <w:r w:rsidRPr="006B1804">
        <w:rPr>
          <w:rFonts w:cstheme="minorHAnsi"/>
          <w:sz w:val="24"/>
        </w:rPr>
        <w:t xml:space="preserve">Antallet fellelser for urettmessig identifisering i forbindelse med straffbare eller kritikkverdige forhold (VVP punkt 4.7) holder seg </w:t>
      </w:r>
      <w:proofErr w:type="spellStart"/>
      <w:r w:rsidR="00256D60">
        <w:rPr>
          <w:rFonts w:cstheme="minorHAnsi"/>
          <w:sz w:val="24"/>
        </w:rPr>
        <w:t>oppsiktvekkende</w:t>
      </w:r>
      <w:proofErr w:type="spellEnd"/>
      <w:r w:rsidR="00256D60">
        <w:rPr>
          <w:rFonts w:cstheme="minorHAnsi"/>
          <w:sz w:val="24"/>
        </w:rPr>
        <w:t xml:space="preserve"> lave</w:t>
      </w:r>
      <w:r w:rsidRPr="006B1804">
        <w:rPr>
          <w:rFonts w:cstheme="minorHAnsi"/>
          <w:sz w:val="24"/>
        </w:rPr>
        <w:t xml:space="preserve">. </w:t>
      </w:r>
      <w:r w:rsidR="00256D60">
        <w:rPr>
          <w:rFonts w:cstheme="minorHAnsi"/>
          <w:sz w:val="24"/>
        </w:rPr>
        <w:t xml:space="preserve">I 2019 var det én fellelse på dette punktet, i 2020 ingen. </w:t>
      </w:r>
      <w:r w:rsidR="001340C5">
        <w:rPr>
          <w:rFonts w:cstheme="minorHAnsi"/>
          <w:sz w:val="24"/>
        </w:rPr>
        <w:t xml:space="preserve">De siste ti årene før det har antallet </w:t>
      </w:r>
      <w:r w:rsidRPr="006B1804">
        <w:rPr>
          <w:rFonts w:cstheme="minorHAnsi"/>
          <w:sz w:val="24"/>
        </w:rPr>
        <w:t>fellelser ligget mellom tre og ni.</w:t>
      </w:r>
      <w:r w:rsidR="001340C5">
        <w:rPr>
          <w:rFonts w:cstheme="minorHAnsi"/>
          <w:sz w:val="24"/>
        </w:rPr>
        <w:t xml:space="preserve"> </w:t>
      </w:r>
      <w:r w:rsidR="00BF58AE">
        <w:rPr>
          <w:rFonts w:cstheme="minorHAnsi"/>
          <w:sz w:val="24"/>
        </w:rPr>
        <w:t xml:space="preserve">Dersom man leser </w:t>
      </w:r>
      <w:proofErr w:type="spellStart"/>
      <w:r w:rsidR="00BF58AE">
        <w:rPr>
          <w:rFonts w:cstheme="minorHAnsi"/>
          <w:sz w:val="24"/>
        </w:rPr>
        <w:t>PFUs</w:t>
      </w:r>
      <w:proofErr w:type="spellEnd"/>
      <w:r w:rsidR="00BF58AE">
        <w:rPr>
          <w:rFonts w:cstheme="minorHAnsi"/>
          <w:sz w:val="24"/>
        </w:rPr>
        <w:t xml:space="preserve"> uttalelser i disse sakene</w:t>
      </w:r>
      <w:r w:rsidR="00536B66">
        <w:rPr>
          <w:rFonts w:cstheme="minorHAnsi"/>
          <w:sz w:val="24"/>
        </w:rPr>
        <w:t>,</w:t>
      </w:r>
      <w:r w:rsidR="00BF58AE">
        <w:rPr>
          <w:rFonts w:cstheme="minorHAnsi"/>
          <w:sz w:val="24"/>
        </w:rPr>
        <w:t xml:space="preserve"> er det åpenbart at mediene stort sett treffer ganske godt i sine vurderinger</w:t>
      </w:r>
      <w:r w:rsidR="003D02DB">
        <w:rPr>
          <w:rFonts w:cstheme="minorHAnsi"/>
          <w:sz w:val="24"/>
        </w:rPr>
        <w:t xml:space="preserve"> når det gjelder identifisering. Det kan selvfølgelig også være et moment at en del redaksjoner er mer forsiktige enn hva som er nødvendig </w:t>
      </w:r>
      <w:r w:rsidR="000E32B6">
        <w:rPr>
          <w:rFonts w:cstheme="minorHAnsi"/>
          <w:sz w:val="24"/>
        </w:rPr>
        <w:t>for å oppfylle Vær Varsom-plakatens krav. Interessant er det uansett at</w:t>
      </w:r>
      <w:r w:rsidR="008B26AC">
        <w:rPr>
          <w:rFonts w:cstheme="minorHAnsi"/>
          <w:sz w:val="24"/>
        </w:rPr>
        <w:t xml:space="preserve"> på </w:t>
      </w:r>
      <w:r w:rsidRPr="006B1804">
        <w:rPr>
          <w:rFonts w:cstheme="minorHAnsi"/>
          <w:sz w:val="24"/>
        </w:rPr>
        <w:t>NR-sekretariatet</w:t>
      </w:r>
      <w:r w:rsidR="008B26AC">
        <w:rPr>
          <w:rFonts w:cstheme="minorHAnsi"/>
          <w:sz w:val="24"/>
        </w:rPr>
        <w:t>s «hotline» er</w:t>
      </w:r>
      <w:r w:rsidRPr="006B1804">
        <w:rPr>
          <w:rFonts w:cstheme="minorHAnsi"/>
          <w:sz w:val="24"/>
        </w:rPr>
        <w:t xml:space="preserve"> nettopp dette punktet gjenstand for mange</w:t>
      </w:r>
      <w:r w:rsidR="008B26AC">
        <w:rPr>
          <w:rFonts w:cstheme="minorHAnsi"/>
          <w:sz w:val="24"/>
        </w:rPr>
        <w:t xml:space="preserve"> henvendelser hvor </w:t>
      </w:r>
      <w:r w:rsidR="00011DCF">
        <w:rPr>
          <w:rFonts w:cstheme="minorHAnsi"/>
          <w:sz w:val="24"/>
        </w:rPr>
        <w:t>redaktørene står oppe i det de opplever som svært vanskelige vurderinger</w:t>
      </w:r>
      <w:r w:rsidRPr="006B1804">
        <w:rPr>
          <w:rFonts w:cstheme="minorHAnsi"/>
          <w:sz w:val="24"/>
        </w:rPr>
        <w:t>, og at det hos mange er stor usikkerhet med hensyn til hvordan man skal håndtere spørsmål knyttet til identifisering. Dette gjelder kanskje særlig i mange lokale mediehus.</w:t>
      </w:r>
      <w:hyperlink r:id="rId20" w:history="1">
        <w:r w:rsidR="00536B66" w:rsidRPr="00536B66">
          <w:rPr>
            <w:rStyle w:val="Hyperkobling"/>
            <w:rFonts w:cstheme="minorHAnsi"/>
            <w:sz w:val="24"/>
          </w:rPr>
          <w:t xml:space="preserve"> Identifisering</w:t>
        </w:r>
      </w:hyperlink>
      <w:r w:rsidR="00536B66">
        <w:rPr>
          <w:rFonts w:cstheme="minorHAnsi"/>
          <w:sz w:val="24"/>
        </w:rPr>
        <w:t xml:space="preserve"> har også vært tema i NRs podkast. </w:t>
      </w:r>
    </w:p>
    <w:p w14:paraId="06102162" w14:textId="77777777" w:rsidR="00AB270C" w:rsidRDefault="00AB270C" w:rsidP="00A13BC9">
      <w:pPr>
        <w:pStyle w:val="Listeavsnitt"/>
        <w:spacing w:after="0" w:line="276" w:lineRule="auto"/>
        <w:rPr>
          <w:rFonts w:cstheme="minorHAnsi"/>
          <w:sz w:val="24"/>
        </w:rPr>
      </w:pPr>
    </w:p>
    <w:p w14:paraId="763F72E0" w14:textId="77777777" w:rsidR="00610E5F" w:rsidRDefault="00AB270C" w:rsidP="00A13BC9">
      <w:pPr>
        <w:pStyle w:val="Listeavsnitt"/>
        <w:numPr>
          <w:ilvl w:val="0"/>
          <w:numId w:val="1"/>
        </w:numPr>
        <w:spacing w:after="0" w:line="276" w:lineRule="auto"/>
        <w:rPr>
          <w:rFonts w:cstheme="minorHAnsi"/>
          <w:sz w:val="24"/>
        </w:rPr>
      </w:pPr>
      <w:r>
        <w:rPr>
          <w:rFonts w:cstheme="minorHAnsi"/>
          <w:sz w:val="24"/>
        </w:rPr>
        <w:t>Til tross for at PFU</w:t>
      </w:r>
      <w:r w:rsidR="002D7AD0">
        <w:rPr>
          <w:rFonts w:cstheme="minorHAnsi"/>
          <w:sz w:val="24"/>
        </w:rPr>
        <w:t xml:space="preserve"> de siste årene</w:t>
      </w:r>
      <w:r>
        <w:rPr>
          <w:rFonts w:cstheme="minorHAnsi"/>
          <w:sz w:val="24"/>
        </w:rPr>
        <w:t xml:space="preserve"> må kunne sies å ha «strammet til» </w:t>
      </w:r>
      <w:r w:rsidR="002D7AD0">
        <w:rPr>
          <w:rFonts w:cstheme="minorHAnsi"/>
          <w:sz w:val="24"/>
        </w:rPr>
        <w:t xml:space="preserve">sin tolkning og praksis når det gjelder kravene til å ta hensyn til </w:t>
      </w:r>
      <w:r w:rsidR="00434220">
        <w:rPr>
          <w:rFonts w:cstheme="minorHAnsi"/>
          <w:sz w:val="24"/>
        </w:rPr>
        <w:t xml:space="preserve">konsekvensene for barn (VVP 4.8), så har antallet fellelser </w:t>
      </w:r>
      <w:r w:rsidR="009417B0">
        <w:rPr>
          <w:rFonts w:cstheme="minorHAnsi"/>
          <w:sz w:val="24"/>
        </w:rPr>
        <w:t xml:space="preserve">ikke vist noen økning. Etter «toppåret» 2017, med 11 fellelser, har antallet fellelser i 2018, 2019 og 2020 vært henholdsvis </w:t>
      </w:r>
      <w:r w:rsidR="00610E5F">
        <w:rPr>
          <w:rFonts w:cstheme="minorHAnsi"/>
          <w:sz w:val="24"/>
        </w:rPr>
        <w:t>to, seks og fire.</w:t>
      </w:r>
    </w:p>
    <w:p w14:paraId="7B26F7AE" w14:textId="77777777" w:rsidR="00610E5F" w:rsidRPr="00610E5F" w:rsidRDefault="00610E5F" w:rsidP="00A13BC9">
      <w:pPr>
        <w:pStyle w:val="Listeavsnitt"/>
        <w:spacing w:after="0" w:line="276" w:lineRule="auto"/>
        <w:rPr>
          <w:rFonts w:cstheme="minorHAnsi"/>
          <w:sz w:val="24"/>
        </w:rPr>
      </w:pPr>
    </w:p>
    <w:p w14:paraId="0E26C4BD" w14:textId="6527488B" w:rsidR="00191520" w:rsidRPr="006B1804" w:rsidRDefault="006D2130" w:rsidP="00A13BC9">
      <w:pPr>
        <w:pStyle w:val="Listeavsnitt"/>
        <w:numPr>
          <w:ilvl w:val="0"/>
          <w:numId w:val="1"/>
        </w:numPr>
        <w:spacing w:after="0" w:line="276" w:lineRule="auto"/>
        <w:rPr>
          <w:rFonts w:cstheme="minorHAnsi"/>
          <w:sz w:val="24"/>
        </w:rPr>
      </w:pPr>
      <w:r>
        <w:rPr>
          <w:rFonts w:cstheme="minorHAnsi"/>
          <w:sz w:val="24"/>
        </w:rPr>
        <w:t>E</w:t>
      </w:r>
      <w:r w:rsidR="00191520" w:rsidRPr="006B1804">
        <w:rPr>
          <w:rFonts w:cstheme="minorHAnsi"/>
          <w:sz w:val="24"/>
        </w:rPr>
        <w:t>t punkt</w:t>
      </w:r>
      <w:r w:rsidR="000A030B">
        <w:rPr>
          <w:rFonts w:cstheme="minorHAnsi"/>
          <w:sz w:val="24"/>
        </w:rPr>
        <w:t xml:space="preserve"> hvor</w:t>
      </w:r>
      <w:r w:rsidR="00191520" w:rsidRPr="006B1804">
        <w:rPr>
          <w:rFonts w:cstheme="minorHAnsi"/>
          <w:sz w:val="24"/>
        </w:rPr>
        <w:t xml:space="preserve"> mange mente </w:t>
      </w:r>
      <w:r w:rsidR="000A030B">
        <w:rPr>
          <w:rFonts w:cstheme="minorHAnsi"/>
          <w:sz w:val="24"/>
        </w:rPr>
        <w:t xml:space="preserve">antallet klager og fellelser </w:t>
      </w:r>
      <w:r w:rsidR="00191520" w:rsidRPr="006B1804">
        <w:rPr>
          <w:rFonts w:cstheme="minorHAnsi"/>
          <w:sz w:val="24"/>
        </w:rPr>
        <w:t>ville øke kraftig</w:t>
      </w:r>
      <w:r w:rsidR="000A030B">
        <w:rPr>
          <w:rFonts w:cstheme="minorHAnsi"/>
          <w:sz w:val="24"/>
        </w:rPr>
        <w:t>,</w:t>
      </w:r>
      <w:r w:rsidR="00191520" w:rsidRPr="006B1804">
        <w:rPr>
          <w:rFonts w:cstheme="minorHAnsi"/>
          <w:sz w:val="24"/>
        </w:rPr>
        <w:t xml:space="preserve"> i tråd med utviklingen av kommentarfeltene og det brukergenererte innholdet</w:t>
      </w:r>
      <w:r w:rsidR="001F349D">
        <w:rPr>
          <w:rFonts w:cstheme="minorHAnsi"/>
          <w:sz w:val="24"/>
        </w:rPr>
        <w:t>, var punkt 4.17 om moderering</w:t>
      </w:r>
      <w:r w:rsidR="00191520" w:rsidRPr="006B1804">
        <w:rPr>
          <w:rFonts w:cstheme="minorHAnsi"/>
          <w:sz w:val="24"/>
        </w:rPr>
        <w:t xml:space="preserve">. </w:t>
      </w:r>
      <w:r w:rsidR="00B17D25">
        <w:rPr>
          <w:rFonts w:cstheme="minorHAnsi"/>
          <w:sz w:val="24"/>
        </w:rPr>
        <w:t xml:space="preserve">Det </w:t>
      </w:r>
      <w:r w:rsidR="00191520" w:rsidRPr="006B1804">
        <w:rPr>
          <w:rFonts w:cstheme="minorHAnsi"/>
          <w:sz w:val="24"/>
        </w:rPr>
        <w:t>har ikke skjedd.</w:t>
      </w:r>
      <w:r w:rsidR="001F349D">
        <w:rPr>
          <w:rFonts w:cstheme="minorHAnsi"/>
          <w:sz w:val="24"/>
        </w:rPr>
        <w:t xml:space="preserve"> I 2019 og 2020 har det vært henholdsvis to og fire fellelser på dette punktet</w:t>
      </w:r>
      <w:r w:rsidR="00CE4902">
        <w:rPr>
          <w:rFonts w:cstheme="minorHAnsi"/>
          <w:sz w:val="24"/>
        </w:rPr>
        <w:t>, og totalt ikke mer enn ti klager til sammen i de to årene.</w:t>
      </w:r>
      <w:r w:rsidR="00B751A7" w:rsidRPr="006B1804">
        <w:rPr>
          <w:rFonts w:cstheme="minorHAnsi"/>
          <w:sz w:val="24"/>
        </w:rPr>
        <w:t xml:space="preserve"> </w:t>
      </w:r>
    </w:p>
    <w:p w14:paraId="12407EBF" w14:textId="77777777" w:rsidR="008B537A" w:rsidRDefault="008B537A" w:rsidP="00CA06C4">
      <w:pPr>
        <w:spacing w:after="0" w:line="276" w:lineRule="auto"/>
        <w:rPr>
          <w:rFonts w:cstheme="minorHAnsi"/>
          <w:sz w:val="36"/>
          <w:szCs w:val="36"/>
        </w:rPr>
      </w:pPr>
    </w:p>
    <w:p w14:paraId="13E57F6F" w14:textId="1B5DFE74" w:rsidR="00086974" w:rsidRDefault="008B537A" w:rsidP="00CA06C4">
      <w:pPr>
        <w:spacing w:after="0" w:line="276" w:lineRule="auto"/>
        <w:rPr>
          <w:rFonts w:cstheme="minorHAnsi"/>
          <w:sz w:val="36"/>
          <w:szCs w:val="36"/>
        </w:rPr>
      </w:pPr>
      <w:r>
        <w:rPr>
          <w:rFonts w:cstheme="minorHAnsi"/>
          <w:sz w:val="36"/>
          <w:szCs w:val="36"/>
        </w:rPr>
        <w:t xml:space="preserve">På tide med en ny </w:t>
      </w:r>
      <w:r w:rsidR="00CA06C4">
        <w:rPr>
          <w:rFonts w:cstheme="minorHAnsi"/>
          <w:sz w:val="36"/>
          <w:szCs w:val="36"/>
        </w:rPr>
        <w:t>4.14</w:t>
      </w:r>
      <w:r>
        <w:rPr>
          <w:rFonts w:cstheme="minorHAnsi"/>
          <w:sz w:val="36"/>
          <w:szCs w:val="36"/>
        </w:rPr>
        <w:t>-skvadron?</w:t>
      </w:r>
    </w:p>
    <w:p w14:paraId="1FF7900B" w14:textId="0BE83408" w:rsidR="00086974" w:rsidRDefault="00CA06C4" w:rsidP="00CA06C4">
      <w:pPr>
        <w:spacing w:after="0" w:line="276" w:lineRule="auto"/>
        <w:rPr>
          <w:rFonts w:cstheme="minorHAnsi"/>
          <w:sz w:val="24"/>
        </w:rPr>
      </w:pPr>
      <w:r>
        <w:rPr>
          <w:rFonts w:cstheme="minorHAnsi"/>
          <w:sz w:val="24"/>
        </w:rPr>
        <w:t>Selv om det</w:t>
      </w:r>
      <w:r w:rsidR="008B3484">
        <w:rPr>
          <w:rFonts w:cstheme="minorHAnsi"/>
          <w:sz w:val="24"/>
        </w:rPr>
        <w:t xml:space="preserve"> kan virke som en repetisjonsøvelse, så er det nesten umulig at vi ikke også</w:t>
      </w:r>
      <w:r w:rsidR="003016F2">
        <w:rPr>
          <w:rFonts w:cstheme="minorHAnsi"/>
          <w:sz w:val="24"/>
        </w:rPr>
        <w:t xml:space="preserve"> i år</w:t>
      </w:r>
      <w:r w:rsidR="0012308F">
        <w:rPr>
          <w:rFonts w:cstheme="minorHAnsi"/>
          <w:sz w:val="24"/>
        </w:rPr>
        <w:t xml:space="preserve"> sette</w:t>
      </w:r>
      <w:r w:rsidR="003016F2">
        <w:rPr>
          <w:rFonts w:cstheme="minorHAnsi"/>
          <w:sz w:val="24"/>
        </w:rPr>
        <w:t>r</w:t>
      </w:r>
      <w:r w:rsidR="0012308F">
        <w:rPr>
          <w:rFonts w:cstheme="minorHAnsi"/>
          <w:sz w:val="24"/>
        </w:rPr>
        <w:t xml:space="preserve"> søkelyset på</w:t>
      </w:r>
      <w:r w:rsidR="003016F2">
        <w:rPr>
          <w:rFonts w:cstheme="minorHAnsi"/>
          <w:sz w:val="24"/>
        </w:rPr>
        <w:t xml:space="preserve"> de mange fellelsene på</w:t>
      </w:r>
      <w:r w:rsidR="0012308F">
        <w:rPr>
          <w:rFonts w:cstheme="minorHAnsi"/>
          <w:sz w:val="24"/>
        </w:rPr>
        <w:t xml:space="preserve"> punkt 4.14. Det skyldes</w:t>
      </w:r>
      <w:r w:rsidR="003016F2">
        <w:rPr>
          <w:rFonts w:cstheme="minorHAnsi"/>
          <w:sz w:val="24"/>
        </w:rPr>
        <w:t>, som før,</w:t>
      </w:r>
      <w:r w:rsidR="0012308F">
        <w:rPr>
          <w:rFonts w:cstheme="minorHAnsi"/>
          <w:sz w:val="24"/>
        </w:rPr>
        <w:t xml:space="preserve"> flere forhold:</w:t>
      </w:r>
    </w:p>
    <w:p w14:paraId="7D1461E4" w14:textId="11FC6363" w:rsidR="0012308F" w:rsidRDefault="0012308F" w:rsidP="00CA06C4">
      <w:pPr>
        <w:spacing w:after="0" w:line="276" w:lineRule="auto"/>
        <w:rPr>
          <w:rFonts w:cstheme="minorHAnsi"/>
          <w:sz w:val="24"/>
        </w:rPr>
      </w:pPr>
    </w:p>
    <w:p w14:paraId="1A7D94AD" w14:textId="18F94273" w:rsidR="0012308F" w:rsidRDefault="0012308F" w:rsidP="0012308F">
      <w:pPr>
        <w:pStyle w:val="Listeavsnitt"/>
        <w:numPr>
          <w:ilvl w:val="0"/>
          <w:numId w:val="1"/>
        </w:numPr>
        <w:spacing w:after="0" w:line="276" w:lineRule="auto"/>
        <w:rPr>
          <w:rFonts w:cstheme="minorHAnsi"/>
          <w:sz w:val="24"/>
        </w:rPr>
      </w:pPr>
      <w:r>
        <w:rPr>
          <w:rFonts w:cstheme="minorHAnsi"/>
          <w:sz w:val="24"/>
        </w:rPr>
        <w:lastRenderedPageBreak/>
        <w:t>Punkt 4.14 har vært stabilt på toppen i mange år.</w:t>
      </w:r>
    </w:p>
    <w:p w14:paraId="084E3E16" w14:textId="06F7B697" w:rsidR="0012308F" w:rsidRDefault="0012308F" w:rsidP="0012308F">
      <w:pPr>
        <w:pStyle w:val="Listeavsnitt"/>
        <w:numPr>
          <w:ilvl w:val="0"/>
          <w:numId w:val="1"/>
        </w:numPr>
        <w:spacing w:after="0" w:line="276" w:lineRule="auto"/>
        <w:rPr>
          <w:rFonts w:cstheme="minorHAnsi"/>
          <w:sz w:val="24"/>
        </w:rPr>
      </w:pPr>
      <w:r>
        <w:rPr>
          <w:rFonts w:cstheme="minorHAnsi"/>
          <w:sz w:val="24"/>
        </w:rPr>
        <w:t>Punkt 4.14 og punkt 3.2 er «søsken»; det vil si at de ofte reiser sammen. Sammenhengen mellom de to er ofte slik at dersom du oppfyller punkt 4.14, så er du gjerne også langt på vei til å oppfylle punkt 3.2. Motsatt; svikter det på 4.14, så er ofte konsekvensen at det også blir brudd på punkt 3.2.</w:t>
      </w:r>
    </w:p>
    <w:p w14:paraId="68247E3E" w14:textId="184D1B2A" w:rsidR="0012308F" w:rsidRDefault="0012308F" w:rsidP="0012308F">
      <w:pPr>
        <w:pStyle w:val="Listeavsnitt"/>
        <w:numPr>
          <w:ilvl w:val="0"/>
          <w:numId w:val="1"/>
        </w:numPr>
        <w:spacing w:after="0" w:line="276" w:lineRule="auto"/>
        <w:rPr>
          <w:rFonts w:cstheme="minorHAnsi"/>
          <w:sz w:val="24"/>
        </w:rPr>
      </w:pPr>
      <w:r>
        <w:rPr>
          <w:rFonts w:cstheme="minorHAnsi"/>
          <w:sz w:val="24"/>
        </w:rPr>
        <w:t xml:space="preserve">Punkt 4.14 er enklere å lage nokså faste kriterier for, noe </w:t>
      </w:r>
      <w:proofErr w:type="spellStart"/>
      <w:r>
        <w:rPr>
          <w:rFonts w:cstheme="minorHAnsi"/>
          <w:sz w:val="24"/>
        </w:rPr>
        <w:t>PFUs</w:t>
      </w:r>
      <w:proofErr w:type="spellEnd"/>
      <w:r>
        <w:rPr>
          <w:rFonts w:cstheme="minorHAnsi"/>
          <w:sz w:val="24"/>
        </w:rPr>
        <w:t xml:space="preserve"> praksis også viser. Punkt 3.2 må nødvendigvis </w:t>
      </w:r>
      <w:r w:rsidR="00C87E53">
        <w:rPr>
          <w:rFonts w:cstheme="minorHAnsi"/>
          <w:sz w:val="24"/>
        </w:rPr>
        <w:t xml:space="preserve">avstedkomme en noe mer skjønnsmessig vurdering. </w:t>
      </w:r>
    </w:p>
    <w:p w14:paraId="0785D874" w14:textId="1A5A50B8" w:rsidR="00891852" w:rsidRDefault="007C40BE" w:rsidP="00D86AB4">
      <w:pPr>
        <w:pStyle w:val="Listeavsnitt"/>
        <w:numPr>
          <w:ilvl w:val="0"/>
          <w:numId w:val="1"/>
        </w:numPr>
        <w:spacing w:after="0" w:line="276" w:lineRule="auto"/>
        <w:rPr>
          <w:rFonts w:cstheme="minorHAnsi"/>
          <w:sz w:val="24"/>
        </w:rPr>
      </w:pPr>
      <w:r w:rsidRPr="00891852">
        <w:rPr>
          <w:rFonts w:cstheme="minorHAnsi"/>
          <w:sz w:val="24"/>
        </w:rPr>
        <w:t xml:space="preserve">Og så, det kanskje viktigste av alt: </w:t>
      </w:r>
      <w:r w:rsidR="002C59E6" w:rsidRPr="00891852">
        <w:rPr>
          <w:rFonts w:cstheme="minorHAnsi"/>
          <w:sz w:val="24"/>
        </w:rPr>
        <w:t>Punkt 3.2 og kanskje særlig punkt 4.14 handler om kjernen i den journalistiske metode</w:t>
      </w:r>
      <w:r w:rsidR="00C902B4" w:rsidRPr="00891852">
        <w:rPr>
          <w:rFonts w:cstheme="minorHAnsi"/>
          <w:sz w:val="24"/>
        </w:rPr>
        <w:t xml:space="preserve">. </w:t>
      </w:r>
      <w:r w:rsidR="005C7C01" w:rsidRPr="00891852">
        <w:rPr>
          <w:rFonts w:cstheme="minorHAnsi"/>
          <w:sz w:val="24"/>
        </w:rPr>
        <w:t>De handler om så samvittighetsfullt som overhodet mulig å undersøke fakta i saken</w:t>
      </w:r>
      <w:r w:rsidR="00B17D25">
        <w:rPr>
          <w:rFonts w:cstheme="minorHAnsi"/>
          <w:sz w:val="24"/>
        </w:rPr>
        <w:t xml:space="preserve"> og</w:t>
      </w:r>
      <w:r w:rsidR="00D62840" w:rsidRPr="00891852">
        <w:rPr>
          <w:rFonts w:cstheme="minorHAnsi"/>
          <w:sz w:val="24"/>
        </w:rPr>
        <w:t xml:space="preserve"> gi den som blir utsatt for kritikk anledning til å forsvare seg – samtidig som </w:t>
      </w:r>
      <w:r w:rsidR="00C84CE3" w:rsidRPr="00891852">
        <w:rPr>
          <w:rFonts w:cstheme="minorHAnsi"/>
          <w:sz w:val="24"/>
        </w:rPr>
        <w:t xml:space="preserve">det bidrar til </w:t>
      </w:r>
      <w:proofErr w:type="spellStart"/>
      <w:r w:rsidR="00C84CE3" w:rsidRPr="00891852">
        <w:rPr>
          <w:rFonts w:cstheme="minorHAnsi"/>
          <w:sz w:val="24"/>
        </w:rPr>
        <w:t>faktasjekken</w:t>
      </w:r>
      <w:proofErr w:type="spellEnd"/>
      <w:r w:rsidR="00C84CE3" w:rsidRPr="00891852">
        <w:rPr>
          <w:rFonts w:cstheme="minorHAnsi"/>
          <w:sz w:val="24"/>
        </w:rPr>
        <w:t xml:space="preserve">. </w:t>
      </w:r>
      <w:r w:rsidR="006F08DE" w:rsidRPr="00891852">
        <w:rPr>
          <w:rFonts w:cstheme="minorHAnsi"/>
          <w:sz w:val="24"/>
        </w:rPr>
        <w:t xml:space="preserve">Dette handler ikke om de vanskelige publisistiske </w:t>
      </w:r>
      <w:r w:rsidR="00B16E0E" w:rsidRPr="00891852">
        <w:rPr>
          <w:rFonts w:cstheme="minorHAnsi"/>
          <w:sz w:val="24"/>
        </w:rPr>
        <w:t>valgene vi ofte må gjør</w:t>
      </w:r>
      <w:r w:rsidR="009E5AAB" w:rsidRPr="00891852">
        <w:rPr>
          <w:rFonts w:cstheme="minorHAnsi"/>
          <w:sz w:val="24"/>
        </w:rPr>
        <w:t xml:space="preserve">e når det kommer til identifisering, detaljgrad, hensyn til pårørende osv. Dette handler om </w:t>
      </w:r>
      <w:r w:rsidR="009C1FCB" w:rsidRPr="00891852">
        <w:rPr>
          <w:rFonts w:cstheme="minorHAnsi"/>
          <w:sz w:val="24"/>
        </w:rPr>
        <w:t xml:space="preserve">selve faget journalistikk, </w:t>
      </w:r>
      <w:r w:rsidR="00030330" w:rsidRPr="00891852">
        <w:rPr>
          <w:rFonts w:cstheme="minorHAnsi"/>
          <w:sz w:val="24"/>
        </w:rPr>
        <w:t>vår metodiske grunnmur.</w:t>
      </w:r>
    </w:p>
    <w:p w14:paraId="6D767C8A" w14:textId="77777777" w:rsidR="00891852" w:rsidRDefault="00891852" w:rsidP="00891852">
      <w:pPr>
        <w:spacing w:after="0" w:line="276" w:lineRule="auto"/>
        <w:rPr>
          <w:rFonts w:cstheme="minorHAnsi"/>
          <w:sz w:val="24"/>
        </w:rPr>
      </w:pPr>
    </w:p>
    <w:p w14:paraId="3661EA75" w14:textId="4855ACBB" w:rsidR="00086974" w:rsidRDefault="00891852" w:rsidP="00891852">
      <w:pPr>
        <w:spacing w:after="0" w:line="276" w:lineRule="auto"/>
        <w:rPr>
          <w:rFonts w:cstheme="minorHAnsi"/>
          <w:sz w:val="24"/>
        </w:rPr>
      </w:pPr>
      <w:r w:rsidRPr="00891852">
        <w:rPr>
          <w:rFonts w:cstheme="minorHAnsi"/>
          <w:sz w:val="24"/>
        </w:rPr>
        <w:t>Statistikken over 4.14-klagenes</w:t>
      </w:r>
      <w:r>
        <w:rPr>
          <w:rFonts w:cstheme="minorHAnsi"/>
          <w:sz w:val="24"/>
        </w:rPr>
        <w:t xml:space="preserve"> andel av </w:t>
      </w:r>
      <w:r w:rsidR="00F00DA3">
        <w:rPr>
          <w:rFonts w:cstheme="minorHAnsi"/>
          <w:sz w:val="24"/>
        </w:rPr>
        <w:t xml:space="preserve">det totale antall behandlede saker i PFU de siste årene, og </w:t>
      </w:r>
      <w:r w:rsidR="006B61B6">
        <w:rPr>
          <w:rFonts w:cstheme="minorHAnsi"/>
          <w:sz w:val="24"/>
        </w:rPr>
        <w:t>andelen brudd/kritikk ser slik ut</w:t>
      </w:r>
      <w:r w:rsidR="00F11CCD">
        <w:rPr>
          <w:rFonts w:cstheme="minorHAnsi"/>
          <w:sz w:val="24"/>
        </w:rPr>
        <w:t xml:space="preserve"> (NB! </w:t>
      </w:r>
      <w:r w:rsidR="00914519">
        <w:rPr>
          <w:rFonts w:cstheme="minorHAnsi"/>
          <w:sz w:val="24"/>
        </w:rPr>
        <w:t xml:space="preserve">«Antall uttalelser 4.14» refererer til de </w:t>
      </w:r>
      <w:r w:rsidR="00D14E62">
        <w:rPr>
          <w:rFonts w:cstheme="minorHAnsi"/>
          <w:sz w:val="24"/>
        </w:rPr>
        <w:t xml:space="preserve">avgitte uttalelsene hvor PFU har adressert 4.14 i sin uttalelse. Det kan altså være </w:t>
      </w:r>
      <w:r w:rsidR="0075537F">
        <w:rPr>
          <w:rFonts w:cstheme="minorHAnsi"/>
          <w:sz w:val="24"/>
        </w:rPr>
        <w:t xml:space="preserve">saker hvor klageren har nevnt 4.14 i sin klage, men hvor PFU ikke har omtalt dette. Disse er </w:t>
      </w:r>
      <w:r w:rsidR="0075537F">
        <w:rPr>
          <w:rFonts w:cstheme="minorHAnsi"/>
          <w:i/>
          <w:iCs/>
          <w:sz w:val="24"/>
        </w:rPr>
        <w:t>ikke</w:t>
      </w:r>
      <w:r w:rsidR="0075537F">
        <w:rPr>
          <w:rFonts w:cstheme="minorHAnsi"/>
          <w:sz w:val="24"/>
        </w:rPr>
        <w:t xml:space="preserve"> med i totaltallet)</w:t>
      </w:r>
      <w:r w:rsidR="006B61B6">
        <w:rPr>
          <w:rFonts w:cstheme="minorHAnsi"/>
          <w:sz w:val="24"/>
        </w:rPr>
        <w:t>:</w:t>
      </w:r>
    </w:p>
    <w:p w14:paraId="6455F73A" w14:textId="77777777" w:rsidR="00891852" w:rsidRPr="00891852" w:rsidRDefault="00891852" w:rsidP="00891852">
      <w:pPr>
        <w:spacing w:after="0" w:line="276" w:lineRule="auto"/>
        <w:rPr>
          <w:rFonts w:cstheme="minorHAnsi"/>
          <w:sz w:val="24"/>
        </w:rPr>
      </w:pPr>
    </w:p>
    <w:tbl>
      <w:tblPr>
        <w:tblStyle w:val="Fargeriklisteuthevingsfarge6"/>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95"/>
        <w:gridCol w:w="674"/>
        <w:gridCol w:w="674"/>
        <w:gridCol w:w="673"/>
        <w:gridCol w:w="672"/>
        <w:gridCol w:w="622"/>
        <w:gridCol w:w="622"/>
        <w:gridCol w:w="622"/>
        <w:gridCol w:w="622"/>
        <w:gridCol w:w="622"/>
        <w:gridCol w:w="622"/>
        <w:gridCol w:w="622"/>
      </w:tblGrid>
      <w:tr w:rsidR="003016F2" w:rsidRPr="006B1804" w14:paraId="3FBC85A7" w14:textId="603E8DC4" w:rsidTr="00D86A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1F48C485" w14:textId="5CFF276C" w:rsidR="003016F2" w:rsidRPr="006B1804" w:rsidRDefault="003016F2" w:rsidP="00B477B6">
            <w:pPr>
              <w:rPr>
                <w:rFonts w:cstheme="minorHAnsi"/>
                <w:sz w:val="20"/>
                <w:szCs w:val="20"/>
              </w:rPr>
            </w:pPr>
            <w:r w:rsidRPr="006B1804">
              <w:rPr>
                <w:rFonts w:cstheme="minorHAnsi"/>
                <w:sz w:val="20"/>
                <w:szCs w:val="20"/>
              </w:rPr>
              <w:t>PFU-klager på 4.14</w:t>
            </w:r>
          </w:p>
        </w:tc>
        <w:tc>
          <w:tcPr>
            <w:tcW w:w="674" w:type="dxa"/>
          </w:tcPr>
          <w:p w14:paraId="38C29362" w14:textId="77777777" w:rsidR="003016F2" w:rsidRPr="006B1804" w:rsidRDefault="003016F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2010</w:t>
            </w:r>
          </w:p>
        </w:tc>
        <w:tc>
          <w:tcPr>
            <w:tcW w:w="674" w:type="dxa"/>
          </w:tcPr>
          <w:p w14:paraId="1B9CECB2" w14:textId="77777777" w:rsidR="003016F2" w:rsidRPr="006B1804" w:rsidRDefault="003016F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2011</w:t>
            </w:r>
          </w:p>
        </w:tc>
        <w:tc>
          <w:tcPr>
            <w:tcW w:w="673" w:type="dxa"/>
          </w:tcPr>
          <w:p w14:paraId="6E313730" w14:textId="77777777" w:rsidR="003016F2" w:rsidRPr="006B1804" w:rsidRDefault="003016F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2012</w:t>
            </w:r>
          </w:p>
        </w:tc>
        <w:tc>
          <w:tcPr>
            <w:tcW w:w="672" w:type="dxa"/>
          </w:tcPr>
          <w:p w14:paraId="711F1410" w14:textId="77777777" w:rsidR="003016F2" w:rsidRPr="006B1804" w:rsidRDefault="003016F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2013</w:t>
            </w:r>
          </w:p>
        </w:tc>
        <w:tc>
          <w:tcPr>
            <w:tcW w:w="622" w:type="dxa"/>
          </w:tcPr>
          <w:p w14:paraId="50518BBE" w14:textId="77777777" w:rsidR="003016F2" w:rsidRPr="006B1804" w:rsidRDefault="003016F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2014</w:t>
            </w:r>
          </w:p>
        </w:tc>
        <w:tc>
          <w:tcPr>
            <w:tcW w:w="622" w:type="dxa"/>
          </w:tcPr>
          <w:p w14:paraId="636AE172" w14:textId="77777777" w:rsidR="003016F2" w:rsidRPr="006B1804" w:rsidRDefault="003016F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2015</w:t>
            </w:r>
          </w:p>
        </w:tc>
        <w:tc>
          <w:tcPr>
            <w:tcW w:w="622" w:type="dxa"/>
          </w:tcPr>
          <w:p w14:paraId="1657C20F" w14:textId="77777777" w:rsidR="003016F2" w:rsidRPr="006B1804" w:rsidRDefault="003016F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2016</w:t>
            </w:r>
          </w:p>
        </w:tc>
        <w:tc>
          <w:tcPr>
            <w:tcW w:w="622" w:type="dxa"/>
          </w:tcPr>
          <w:p w14:paraId="40732255" w14:textId="572B995E" w:rsidR="003016F2" w:rsidRPr="006B1804" w:rsidRDefault="003016F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2017</w:t>
            </w:r>
          </w:p>
        </w:tc>
        <w:tc>
          <w:tcPr>
            <w:tcW w:w="622" w:type="dxa"/>
          </w:tcPr>
          <w:p w14:paraId="328025CE" w14:textId="4FE6B0B8" w:rsidR="003016F2" w:rsidRPr="006B1804" w:rsidRDefault="003016F2"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2018</w:t>
            </w:r>
          </w:p>
        </w:tc>
        <w:tc>
          <w:tcPr>
            <w:tcW w:w="622" w:type="dxa"/>
          </w:tcPr>
          <w:p w14:paraId="653D1F05" w14:textId="7F0ABC32" w:rsidR="003016F2" w:rsidRDefault="00FA1993"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2019</w:t>
            </w:r>
          </w:p>
        </w:tc>
        <w:tc>
          <w:tcPr>
            <w:tcW w:w="622" w:type="dxa"/>
          </w:tcPr>
          <w:p w14:paraId="5AD18872" w14:textId="1C65453D" w:rsidR="003016F2" w:rsidRDefault="00FA1993" w:rsidP="00B477B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2020</w:t>
            </w:r>
          </w:p>
        </w:tc>
      </w:tr>
      <w:tr w:rsidR="003016F2" w:rsidRPr="006B1804" w14:paraId="4A278525" w14:textId="1A8FBA72" w:rsidTr="00D86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3E602718" w14:textId="77777777" w:rsidR="003016F2" w:rsidRPr="006B1804" w:rsidRDefault="003016F2" w:rsidP="00B477B6">
            <w:pPr>
              <w:rPr>
                <w:rFonts w:cstheme="minorHAnsi"/>
                <w:sz w:val="20"/>
                <w:szCs w:val="20"/>
              </w:rPr>
            </w:pPr>
            <w:r w:rsidRPr="006B1804">
              <w:rPr>
                <w:rFonts w:cstheme="minorHAnsi"/>
                <w:sz w:val="20"/>
                <w:szCs w:val="20"/>
              </w:rPr>
              <w:t xml:space="preserve">Antall avgitte uttalelser </w:t>
            </w:r>
          </w:p>
        </w:tc>
        <w:tc>
          <w:tcPr>
            <w:tcW w:w="674" w:type="dxa"/>
          </w:tcPr>
          <w:p w14:paraId="199DCE3C"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145</w:t>
            </w:r>
          </w:p>
        </w:tc>
        <w:tc>
          <w:tcPr>
            <w:tcW w:w="674" w:type="dxa"/>
          </w:tcPr>
          <w:p w14:paraId="55FD925C"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151</w:t>
            </w:r>
          </w:p>
        </w:tc>
        <w:tc>
          <w:tcPr>
            <w:tcW w:w="673" w:type="dxa"/>
          </w:tcPr>
          <w:p w14:paraId="7BE4C6F5"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148</w:t>
            </w:r>
          </w:p>
        </w:tc>
        <w:tc>
          <w:tcPr>
            <w:tcW w:w="672" w:type="dxa"/>
          </w:tcPr>
          <w:p w14:paraId="12B1A8A8"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142</w:t>
            </w:r>
          </w:p>
        </w:tc>
        <w:tc>
          <w:tcPr>
            <w:tcW w:w="622" w:type="dxa"/>
          </w:tcPr>
          <w:p w14:paraId="449FEE0D"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131</w:t>
            </w:r>
          </w:p>
        </w:tc>
        <w:tc>
          <w:tcPr>
            <w:tcW w:w="622" w:type="dxa"/>
          </w:tcPr>
          <w:p w14:paraId="467C4B54"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142</w:t>
            </w:r>
          </w:p>
        </w:tc>
        <w:tc>
          <w:tcPr>
            <w:tcW w:w="622" w:type="dxa"/>
          </w:tcPr>
          <w:p w14:paraId="2962B0DB"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124</w:t>
            </w:r>
          </w:p>
        </w:tc>
        <w:tc>
          <w:tcPr>
            <w:tcW w:w="622" w:type="dxa"/>
          </w:tcPr>
          <w:p w14:paraId="356EB497" w14:textId="1B736A6D"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104</w:t>
            </w:r>
          </w:p>
        </w:tc>
        <w:tc>
          <w:tcPr>
            <w:tcW w:w="622" w:type="dxa"/>
          </w:tcPr>
          <w:p w14:paraId="528BF76F" w14:textId="47E02836"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122</w:t>
            </w:r>
          </w:p>
        </w:tc>
        <w:tc>
          <w:tcPr>
            <w:tcW w:w="622" w:type="dxa"/>
          </w:tcPr>
          <w:p w14:paraId="711E6786" w14:textId="647A3CE0" w:rsidR="003016F2" w:rsidRDefault="00FA1993"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100</w:t>
            </w:r>
          </w:p>
        </w:tc>
        <w:tc>
          <w:tcPr>
            <w:tcW w:w="622" w:type="dxa"/>
          </w:tcPr>
          <w:p w14:paraId="16F06203" w14:textId="6A222A26" w:rsidR="003016F2" w:rsidRDefault="005D075D"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121</w:t>
            </w:r>
          </w:p>
        </w:tc>
      </w:tr>
      <w:tr w:rsidR="003016F2" w:rsidRPr="006B1804" w14:paraId="442C816D" w14:textId="631EE550" w:rsidTr="00D86AB4">
        <w:tc>
          <w:tcPr>
            <w:cnfStyle w:val="001000000000" w:firstRow="0" w:lastRow="0" w:firstColumn="1" w:lastColumn="0" w:oddVBand="0" w:evenVBand="0" w:oddHBand="0" w:evenHBand="0" w:firstRowFirstColumn="0" w:firstRowLastColumn="0" w:lastRowFirstColumn="0" w:lastRowLastColumn="0"/>
            <w:tcW w:w="2195" w:type="dxa"/>
          </w:tcPr>
          <w:p w14:paraId="692BB022" w14:textId="1F316643" w:rsidR="003016F2" w:rsidRPr="006B1804" w:rsidRDefault="003016F2" w:rsidP="00B477B6">
            <w:pPr>
              <w:rPr>
                <w:rFonts w:cstheme="minorHAnsi"/>
                <w:sz w:val="20"/>
                <w:szCs w:val="20"/>
              </w:rPr>
            </w:pPr>
            <w:r w:rsidRPr="006B1804">
              <w:rPr>
                <w:rFonts w:cstheme="minorHAnsi"/>
                <w:sz w:val="20"/>
                <w:szCs w:val="20"/>
              </w:rPr>
              <w:t>Antall uttalelser 4.14</w:t>
            </w:r>
          </w:p>
        </w:tc>
        <w:tc>
          <w:tcPr>
            <w:tcW w:w="674" w:type="dxa"/>
          </w:tcPr>
          <w:p w14:paraId="50DF2755"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75</w:t>
            </w:r>
          </w:p>
        </w:tc>
        <w:tc>
          <w:tcPr>
            <w:tcW w:w="674" w:type="dxa"/>
          </w:tcPr>
          <w:p w14:paraId="1BF4C89D"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53</w:t>
            </w:r>
          </w:p>
        </w:tc>
        <w:tc>
          <w:tcPr>
            <w:tcW w:w="673" w:type="dxa"/>
          </w:tcPr>
          <w:p w14:paraId="18C0F59F"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45</w:t>
            </w:r>
          </w:p>
        </w:tc>
        <w:tc>
          <w:tcPr>
            <w:tcW w:w="672" w:type="dxa"/>
          </w:tcPr>
          <w:p w14:paraId="3D9B8C49"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53</w:t>
            </w:r>
          </w:p>
        </w:tc>
        <w:tc>
          <w:tcPr>
            <w:tcW w:w="622" w:type="dxa"/>
          </w:tcPr>
          <w:p w14:paraId="136196DA"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38</w:t>
            </w:r>
          </w:p>
        </w:tc>
        <w:tc>
          <w:tcPr>
            <w:tcW w:w="622" w:type="dxa"/>
          </w:tcPr>
          <w:p w14:paraId="21E4E3DE"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42</w:t>
            </w:r>
          </w:p>
        </w:tc>
        <w:tc>
          <w:tcPr>
            <w:tcW w:w="622" w:type="dxa"/>
          </w:tcPr>
          <w:p w14:paraId="650677BD"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50</w:t>
            </w:r>
          </w:p>
        </w:tc>
        <w:tc>
          <w:tcPr>
            <w:tcW w:w="622" w:type="dxa"/>
          </w:tcPr>
          <w:p w14:paraId="33D3FCE9" w14:textId="765FD7D6"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45</w:t>
            </w:r>
          </w:p>
        </w:tc>
        <w:tc>
          <w:tcPr>
            <w:tcW w:w="622" w:type="dxa"/>
          </w:tcPr>
          <w:p w14:paraId="467EF4C1" w14:textId="402315C3"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65</w:t>
            </w:r>
          </w:p>
        </w:tc>
        <w:tc>
          <w:tcPr>
            <w:tcW w:w="622" w:type="dxa"/>
          </w:tcPr>
          <w:p w14:paraId="34995A4A" w14:textId="5CA3C726" w:rsidR="003016F2" w:rsidRDefault="00D86EB8"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46</w:t>
            </w:r>
          </w:p>
        </w:tc>
        <w:tc>
          <w:tcPr>
            <w:tcW w:w="622" w:type="dxa"/>
          </w:tcPr>
          <w:p w14:paraId="33502AF8" w14:textId="5F531D10" w:rsidR="003016F2" w:rsidRDefault="00D712D8"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63</w:t>
            </w:r>
          </w:p>
        </w:tc>
      </w:tr>
      <w:tr w:rsidR="003016F2" w:rsidRPr="006B1804" w14:paraId="0A498CA3" w14:textId="3BD17A02" w:rsidTr="00D86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7A6DFE6C" w14:textId="77777777" w:rsidR="003016F2" w:rsidRPr="006B1804" w:rsidRDefault="003016F2" w:rsidP="00B477B6">
            <w:pPr>
              <w:rPr>
                <w:rFonts w:cstheme="minorHAnsi"/>
                <w:sz w:val="20"/>
                <w:szCs w:val="20"/>
              </w:rPr>
            </w:pPr>
            <w:r w:rsidRPr="006B1804">
              <w:rPr>
                <w:rFonts w:cstheme="minorHAnsi"/>
                <w:sz w:val="20"/>
                <w:szCs w:val="20"/>
              </w:rPr>
              <w:t xml:space="preserve">Antall brudd </w:t>
            </w:r>
          </w:p>
        </w:tc>
        <w:tc>
          <w:tcPr>
            <w:tcW w:w="674" w:type="dxa"/>
          </w:tcPr>
          <w:p w14:paraId="0B192965"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13</w:t>
            </w:r>
          </w:p>
        </w:tc>
        <w:tc>
          <w:tcPr>
            <w:tcW w:w="674" w:type="dxa"/>
          </w:tcPr>
          <w:p w14:paraId="5F55B9AB"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24</w:t>
            </w:r>
          </w:p>
        </w:tc>
        <w:tc>
          <w:tcPr>
            <w:tcW w:w="673" w:type="dxa"/>
          </w:tcPr>
          <w:p w14:paraId="76C0B4E0"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22</w:t>
            </w:r>
          </w:p>
        </w:tc>
        <w:tc>
          <w:tcPr>
            <w:tcW w:w="672" w:type="dxa"/>
          </w:tcPr>
          <w:p w14:paraId="59E7FAD2"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30</w:t>
            </w:r>
          </w:p>
        </w:tc>
        <w:tc>
          <w:tcPr>
            <w:tcW w:w="622" w:type="dxa"/>
          </w:tcPr>
          <w:p w14:paraId="338E3776"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15</w:t>
            </w:r>
          </w:p>
        </w:tc>
        <w:tc>
          <w:tcPr>
            <w:tcW w:w="622" w:type="dxa"/>
          </w:tcPr>
          <w:p w14:paraId="71F2764B"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22</w:t>
            </w:r>
          </w:p>
        </w:tc>
        <w:tc>
          <w:tcPr>
            <w:tcW w:w="622" w:type="dxa"/>
          </w:tcPr>
          <w:p w14:paraId="7DB0FF92"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17</w:t>
            </w:r>
          </w:p>
        </w:tc>
        <w:tc>
          <w:tcPr>
            <w:tcW w:w="622" w:type="dxa"/>
          </w:tcPr>
          <w:p w14:paraId="45991E8D" w14:textId="2E820E7D"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1804">
              <w:rPr>
                <w:rFonts w:cstheme="minorHAnsi"/>
                <w:sz w:val="20"/>
                <w:szCs w:val="20"/>
              </w:rPr>
              <w:t>18</w:t>
            </w:r>
          </w:p>
        </w:tc>
        <w:tc>
          <w:tcPr>
            <w:tcW w:w="622" w:type="dxa"/>
          </w:tcPr>
          <w:p w14:paraId="4B1A5693" w14:textId="5A9B75F4"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w:t>
            </w:r>
          </w:p>
        </w:tc>
        <w:tc>
          <w:tcPr>
            <w:tcW w:w="622" w:type="dxa"/>
          </w:tcPr>
          <w:p w14:paraId="5A638DDB" w14:textId="44A57FEC" w:rsidR="003016F2" w:rsidRDefault="00A50729"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w:t>
            </w:r>
          </w:p>
        </w:tc>
        <w:tc>
          <w:tcPr>
            <w:tcW w:w="622" w:type="dxa"/>
          </w:tcPr>
          <w:p w14:paraId="6E426BFA" w14:textId="5BD6F3E4" w:rsidR="003016F2" w:rsidRDefault="00DC2BB0" w:rsidP="00B477B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19</w:t>
            </w:r>
          </w:p>
        </w:tc>
      </w:tr>
      <w:tr w:rsidR="003016F2" w:rsidRPr="006B1804" w14:paraId="228DCA99" w14:textId="6D1EFC1B" w:rsidTr="00D86AB4">
        <w:tc>
          <w:tcPr>
            <w:cnfStyle w:val="001000000000" w:firstRow="0" w:lastRow="0" w:firstColumn="1" w:lastColumn="0" w:oddVBand="0" w:evenVBand="0" w:oddHBand="0" w:evenHBand="0" w:firstRowFirstColumn="0" w:firstRowLastColumn="0" w:lastRowFirstColumn="0" w:lastRowLastColumn="0"/>
            <w:tcW w:w="2195" w:type="dxa"/>
          </w:tcPr>
          <w:p w14:paraId="42A501C9" w14:textId="77777777" w:rsidR="003016F2" w:rsidRPr="006B1804" w:rsidRDefault="003016F2" w:rsidP="00B477B6">
            <w:pPr>
              <w:rPr>
                <w:rFonts w:cstheme="minorHAnsi"/>
                <w:sz w:val="20"/>
                <w:szCs w:val="20"/>
              </w:rPr>
            </w:pPr>
            <w:r w:rsidRPr="006B1804">
              <w:rPr>
                <w:rFonts w:cstheme="minorHAnsi"/>
                <w:sz w:val="20"/>
                <w:szCs w:val="20"/>
              </w:rPr>
              <w:t>Antall kritikk</w:t>
            </w:r>
          </w:p>
        </w:tc>
        <w:tc>
          <w:tcPr>
            <w:tcW w:w="674" w:type="dxa"/>
          </w:tcPr>
          <w:p w14:paraId="2623A695"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12</w:t>
            </w:r>
          </w:p>
        </w:tc>
        <w:tc>
          <w:tcPr>
            <w:tcW w:w="674" w:type="dxa"/>
          </w:tcPr>
          <w:p w14:paraId="40BA6FE8"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w:t>
            </w:r>
          </w:p>
        </w:tc>
        <w:tc>
          <w:tcPr>
            <w:tcW w:w="673" w:type="dxa"/>
          </w:tcPr>
          <w:p w14:paraId="4B63DF96"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1</w:t>
            </w:r>
          </w:p>
        </w:tc>
        <w:tc>
          <w:tcPr>
            <w:tcW w:w="672" w:type="dxa"/>
          </w:tcPr>
          <w:p w14:paraId="51856232"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3</w:t>
            </w:r>
          </w:p>
        </w:tc>
        <w:tc>
          <w:tcPr>
            <w:tcW w:w="622" w:type="dxa"/>
          </w:tcPr>
          <w:p w14:paraId="0514F6CD"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2</w:t>
            </w:r>
          </w:p>
        </w:tc>
        <w:tc>
          <w:tcPr>
            <w:tcW w:w="622" w:type="dxa"/>
          </w:tcPr>
          <w:p w14:paraId="104CD9C3"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0</w:t>
            </w:r>
          </w:p>
        </w:tc>
        <w:tc>
          <w:tcPr>
            <w:tcW w:w="622" w:type="dxa"/>
          </w:tcPr>
          <w:p w14:paraId="6F4AC5A9" w14:textId="77777777"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1</w:t>
            </w:r>
          </w:p>
        </w:tc>
        <w:tc>
          <w:tcPr>
            <w:tcW w:w="622" w:type="dxa"/>
          </w:tcPr>
          <w:p w14:paraId="14752F93" w14:textId="4E728FAD"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804">
              <w:rPr>
                <w:rFonts w:cstheme="minorHAnsi"/>
                <w:sz w:val="20"/>
                <w:szCs w:val="20"/>
              </w:rPr>
              <w:t>5</w:t>
            </w:r>
          </w:p>
        </w:tc>
        <w:tc>
          <w:tcPr>
            <w:tcW w:w="622" w:type="dxa"/>
          </w:tcPr>
          <w:p w14:paraId="3564F571" w14:textId="1D06A658" w:rsidR="003016F2" w:rsidRPr="006B1804" w:rsidRDefault="003016F2"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w:t>
            </w:r>
          </w:p>
        </w:tc>
        <w:tc>
          <w:tcPr>
            <w:tcW w:w="622" w:type="dxa"/>
          </w:tcPr>
          <w:p w14:paraId="77536EB7" w14:textId="04649BE6" w:rsidR="003016F2" w:rsidRDefault="00F245DA"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p>
        </w:tc>
        <w:tc>
          <w:tcPr>
            <w:tcW w:w="622" w:type="dxa"/>
          </w:tcPr>
          <w:p w14:paraId="58BA91DE" w14:textId="6057655E" w:rsidR="003016F2" w:rsidRDefault="00DC2BB0" w:rsidP="00B477B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w:t>
            </w:r>
          </w:p>
        </w:tc>
      </w:tr>
      <w:tr w:rsidR="003016F2" w:rsidRPr="006B1804" w14:paraId="5C8086D2" w14:textId="26E244ED" w:rsidTr="00D86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34A22022" w14:textId="77777777" w:rsidR="003016F2" w:rsidRPr="006B1804" w:rsidRDefault="003016F2" w:rsidP="00B477B6">
            <w:pPr>
              <w:rPr>
                <w:rFonts w:cstheme="minorHAnsi"/>
                <w:b w:val="0"/>
                <w:sz w:val="20"/>
                <w:szCs w:val="20"/>
              </w:rPr>
            </w:pPr>
            <w:r w:rsidRPr="006B1804">
              <w:rPr>
                <w:rFonts w:cstheme="minorHAnsi"/>
                <w:b w:val="0"/>
                <w:sz w:val="20"/>
                <w:szCs w:val="20"/>
              </w:rPr>
              <w:t>Sum fellelser</w:t>
            </w:r>
          </w:p>
        </w:tc>
        <w:tc>
          <w:tcPr>
            <w:tcW w:w="674" w:type="dxa"/>
          </w:tcPr>
          <w:p w14:paraId="2FC73597"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15</w:t>
            </w:r>
          </w:p>
        </w:tc>
        <w:tc>
          <w:tcPr>
            <w:tcW w:w="674" w:type="dxa"/>
          </w:tcPr>
          <w:p w14:paraId="085FC0A5"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26</w:t>
            </w:r>
          </w:p>
        </w:tc>
        <w:tc>
          <w:tcPr>
            <w:tcW w:w="673" w:type="dxa"/>
          </w:tcPr>
          <w:p w14:paraId="5C6E24CD"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23</w:t>
            </w:r>
          </w:p>
        </w:tc>
        <w:tc>
          <w:tcPr>
            <w:tcW w:w="672" w:type="dxa"/>
          </w:tcPr>
          <w:p w14:paraId="0886A26B"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33</w:t>
            </w:r>
          </w:p>
        </w:tc>
        <w:tc>
          <w:tcPr>
            <w:tcW w:w="622" w:type="dxa"/>
          </w:tcPr>
          <w:p w14:paraId="3011A376"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17</w:t>
            </w:r>
          </w:p>
        </w:tc>
        <w:tc>
          <w:tcPr>
            <w:tcW w:w="622" w:type="dxa"/>
          </w:tcPr>
          <w:p w14:paraId="2FB8AF60"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vertAlign w:val="superscript"/>
              </w:rPr>
            </w:pPr>
            <w:r w:rsidRPr="006B1804">
              <w:rPr>
                <w:rFonts w:cstheme="minorHAnsi"/>
                <w:b/>
                <w:sz w:val="20"/>
                <w:szCs w:val="20"/>
              </w:rPr>
              <w:t>22</w:t>
            </w:r>
            <w:r w:rsidRPr="006B1804">
              <w:rPr>
                <w:rFonts w:cstheme="minorHAnsi"/>
                <w:b/>
                <w:sz w:val="20"/>
                <w:szCs w:val="20"/>
                <w:vertAlign w:val="superscript"/>
              </w:rPr>
              <w:t>1</w:t>
            </w:r>
          </w:p>
        </w:tc>
        <w:tc>
          <w:tcPr>
            <w:tcW w:w="622" w:type="dxa"/>
          </w:tcPr>
          <w:p w14:paraId="5B2CB09E" w14:textId="77777777"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18</w:t>
            </w:r>
          </w:p>
        </w:tc>
        <w:tc>
          <w:tcPr>
            <w:tcW w:w="622" w:type="dxa"/>
          </w:tcPr>
          <w:p w14:paraId="4293089E" w14:textId="15D30A5D"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1804">
              <w:rPr>
                <w:rFonts w:cstheme="minorHAnsi"/>
                <w:b/>
                <w:sz w:val="20"/>
                <w:szCs w:val="20"/>
              </w:rPr>
              <w:t>23</w:t>
            </w:r>
          </w:p>
        </w:tc>
        <w:tc>
          <w:tcPr>
            <w:tcW w:w="622" w:type="dxa"/>
          </w:tcPr>
          <w:p w14:paraId="1DC264F0" w14:textId="06024213" w:rsidR="003016F2" w:rsidRPr="006B1804" w:rsidRDefault="003016F2"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w:t>
            </w:r>
          </w:p>
        </w:tc>
        <w:tc>
          <w:tcPr>
            <w:tcW w:w="622" w:type="dxa"/>
          </w:tcPr>
          <w:p w14:paraId="040CE9ED" w14:textId="38AE21A9" w:rsidR="003016F2" w:rsidRDefault="00737F5C"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w:t>
            </w:r>
          </w:p>
        </w:tc>
        <w:tc>
          <w:tcPr>
            <w:tcW w:w="622" w:type="dxa"/>
          </w:tcPr>
          <w:p w14:paraId="517AF217" w14:textId="4DDA1272" w:rsidR="003016F2" w:rsidRDefault="00737F5C" w:rsidP="00B477B6">
            <w:pPr>
              <w:jc w:val="righ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w:t>
            </w:r>
          </w:p>
        </w:tc>
      </w:tr>
    </w:tbl>
    <w:p w14:paraId="49C115EF" w14:textId="452CD734" w:rsidR="003D62EB" w:rsidRPr="006B1804" w:rsidRDefault="004D2A5A" w:rsidP="009C167A">
      <w:pPr>
        <w:spacing w:before="80" w:after="0" w:line="240" w:lineRule="auto"/>
        <w:rPr>
          <w:rFonts w:cstheme="minorHAnsi"/>
          <w:i/>
          <w:sz w:val="20"/>
          <w:szCs w:val="20"/>
        </w:rPr>
      </w:pPr>
      <w:r w:rsidRPr="006B1804">
        <w:rPr>
          <w:rFonts w:cstheme="minorHAnsi"/>
          <w:i/>
          <w:sz w:val="20"/>
          <w:szCs w:val="20"/>
        </w:rPr>
        <w:t>Tabell 3</w:t>
      </w:r>
      <w:r w:rsidR="003D62EB" w:rsidRPr="006B1804">
        <w:rPr>
          <w:rFonts w:cstheme="minorHAnsi"/>
          <w:i/>
          <w:sz w:val="20"/>
          <w:szCs w:val="20"/>
        </w:rPr>
        <w:t xml:space="preserve">: Antallet klager totalt, antall klager etter VVP 4.14, og antall fellelser.  </w:t>
      </w:r>
      <w:r w:rsidR="009C167A" w:rsidRPr="006B1804">
        <w:rPr>
          <w:rFonts w:cstheme="minorHAnsi"/>
          <w:i/>
          <w:sz w:val="20"/>
          <w:szCs w:val="20"/>
        </w:rPr>
        <w:t>(</w:t>
      </w:r>
      <w:proofErr w:type="spellStart"/>
      <w:proofErr w:type="gramStart"/>
      <w:r w:rsidR="009C167A" w:rsidRPr="006B1804">
        <w:rPr>
          <w:rFonts w:cstheme="minorHAnsi"/>
          <w:i/>
          <w:sz w:val="20"/>
          <w:szCs w:val="20"/>
        </w:rPr>
        <w:t>Kilde:www.presse.no</w:t>
      </w:r>
      <w:proofErr w:type="spellEnd"/>
      <w:proofErr w:type="gramEnd"/>
      <w:r w:rsidR="003D62EB" w:rsidRPr="006B1804">
        <w:rPr>
          <w:rFonts w:cstheme="minorHAnsi"/>
          <w:i/>
          <w:sz w:val="20"/>
          <w:szCs w:val="20"/>
        </w:rPr>
        <w:t>)</w:t>
      </w:r>
    </w:p>
    <w:p w14:paraId="0F733E08" w14:textId="6117CD0F" w:rsidR="00F60355" w:rsidRDefault="00AF6475" w:rsidP="00F60355">
      <w:pPr>
        <w:rPr>
          <w:rFonts w:cstheme="minorHAnsi"/>
          <w:sz w:val="20"/>
          <w:szCs w:val="20"/>
        </w:rPr>
      </w:pPr>
      <w:r w:rsidRPr="006B1804">
        <w:rPr>
          <w:rFonts w:cstheme="minorHAnsi"/>
          <w:b/>
          <w:sz w:val="20"/>
          <w:szCs w:val="20"/>
          <w:vertAlign w:val="superscript"/>
        </w:rPr>
        <w:t xml:space="preserve">1) </w:t>
      </w:r>
      <w:r w:rsidRPr="006B1804">
        <w:rPr>
          <w:rFonts w:cstheme="minorHAnsi"/>
          <w:sz w:val="20"/>
          <w:szCs w:val="20"/>
        </w:rPr>
        <w:t>Se note 1) til tabell 2 foran.</w:t>
      </w:r>
    </w:p>
    <w:p w14:paraId="69229821" w14:textId="14E38BAB" w:rsidR="00C87E53" w:rsidRDefault="00C43911" w:rsidP="00F60355">
      <w:pPr>
        <w:rPr>
          <w:rFonts w:cstheme="minorHAnsi"/>
          <w:sz w:val="24"/>
        </w:rPr>
      </w:pPr>
      <w:r>
        <w:rPr>
          <w:rFonts w:cstheme="minorHAnsi"/>
          <w:sz w:val="24"/>
        </w:rPr>
        <w:t xml:space="preserve">Et interessant </w:t>
      </w:r>
      <w:r w:rsidR="001D1EA2">
        <w:rPr>
          <w:rFonts w:cstheme="minorHAnsi"/>
          <w:sz w:val="24"/>
        </w:rPr>
        <w:t>trekk</w:t>
      </w:r>
      <w:r w:rsidR="00AB6681">
        <w:rPr>
          <w:rFonts w:cstheme="minorHAnsi"/>
          <w:sz w:val="24"/>
        </w:rPr>
        <w:t xml:space="preserve"> er at dersom vi holder </w:t>
      </w:r>
      <w:r w:rsidR="00110D72">
        <w:rPr>
          <w:rFonts w:cstheme="minorHAnsi"/>
          <w:sz w:val="24"/>
        </w:rPr>
        <w:t xml:space="preserve">2010 utenfor, så har </w:t>
      </w:r>
      <w:r w:rsidR="00F11CCD">
        <w:rPr>
          <w:rFonts w:cstheme="minorHAnsi"/>
          <w:sz w:val="24"/>
        </w:rPr>
        <w:t xml:space="preserve">andelen behandlede saker hvor punkt 4.14 </w:t>
      </w:r>
      <w:r w:rsidR="0075537F">
        <w:rPr>
          <w:rFonts w:cstheme="minorHAnsi"/>
          <w:sz w:val="24"/>
        </w:rPr>
        <w:t>har vært tema</w:t>
      </w:r>
      <w:r w:rsidR="000F5CED">
        <w:rPr>
          <w:rFonts w:cstheme="minorHAnsi"/>
          <w:sz w:val="24"/>
        </w:rPr>
        <w:t>,</w:t>
      </w:r>
      <w:r w:rsidR="0075537F">
        <w:rPr>
          <w:rFonts w:cstheme="minorHAnsi"/>
          <w:sz w:val="24"/>
        </w:rPr>
        <w:t xml:space="preserve"> økt </w:t>
      </w:r>
      <w:r w:rsidR="002A79CD">
        <w:rPr>
          <w:rFonts w:cstheme="minorHAnsi"/>
          <w:sz w:val="24"/>
        </w:rPr>
        <w:t xml:space="preserve">gjennom de siste årene. Både </w:t>
      </w:r>
      <w:r w:rsidR="00100963">
        <w:rPr>
          <w:rFonts w:cstheme="minorHAnsi"/>
          <w:sz w:val="24"/>
        </w:rPr>
        <w:t>i 20</w:t>
      </w:r>
      <w:r w:rsidR="00E64A49">
        <w:rPr>
          <w:rFonts w:cstheme="minorHAnsi"/>
          <w:sz w:val="24"/>
        </w:rPr>
        <w:t xml:space="preserve">18, 2019 og 2020 ligger andelen på rundt 50 prosent. </w:t>
      </w:r>
      <w:r w:rsidR="004A7E24">
        <w:rPr>
          <w:rFonts w:cstheme="minorHAnsi"/>
          <w:sz w:val="24"/>
        </w:rPr>
        <w:t xml:space="preserve">Hva det skyldes vet vi ikke sikkert, men det er grunn til å tro at den oppmerksomheten som </w:t>
      </w:r>
      <w:r w:rsidR="00921E80">
        <w:rPr>
          <w:rFonts w:cstheme="minorHAnsi"/>
          <w:sz w:val="24"/>
        </w:rPr>
        <w:t xml:space="preserve">antall brudd på dette punktet har fått, har gjort særlig de «profesjonelle» klagerne oppmerksomme på et punkt hvor det kan synes om det er gode muligheter for å få medhold i en klage. I det minste har det blitt slik at 4.14 også </w:t>
      </w:r>
      <w:r w:rsidR="00117F50">
        <w:rPr>
          <w:rFonts w:cstheme="minorHAnsi"/>
          <w:sz w:val="24"/>
        </w:rPr>
        <w:t xml:space="preserve">«henges på» i klager hvor det er </w:t>
      </w:r>
      <w:r w:rsidR="001D57A0">
        <w:rPr>
          <w:rFonts w:cstheme="minorHAnsi"/>
          <w:sz w:val="24"/>
        </w:rPr>
        <w:t>åpenbart at det er andre forhold som er hovedbegrunnelsen for at det klages.</w:t>
      </w:r>
    </w:p>
    <w:p w14:paraId="1D2901A8" w14:textId="15D75C8B" w:rsidR="00D12A43" w:rsidRPr="006B1804" w:rsidRDefault="00D12A43" w:rsidP="00D12A43">
      <w:pPr>
        <w:rPr>
          <w:rFonts w:cstheme="minorHAnsi"/>
          <w:sz w:val="24"/>
        </w:rPr>
      </w:pPr>
      <w:r w:rsidRPr="006B1804">
        <w:rPr>
          <w:rFonts w:cstheme="minorHAnsi"/>
          <w:sz w:val="24"/>
        </w:rPr>
        <w:t xml:space="preserve">Det har altså vært en trend hvor det kan synes som om </w:t>
      </w:r>
      <w:r w:rsidRPr="006B1804">
        <w:rPr>
          <w:rFonts w:cstheme="minorHAnsi"/>
          <w:i/>
          <w:sz w:val="24"/>
        </w:rPr>
        <w:t>klagerne</w:t>
      </w:r>
      <w:r w:rsidRPr="006B1804">
        <w:rPr>
          <w:rFonts w:cstheme="minorHAnsi"/>
          <w:sz w:val="24"/>
        </w:rPr>
        <w:t xml:space="preserve"> har blitt mer oppmerksomme på retten til samtidig imøtegåelse, men at de ikke alltid har en like god sak overfor PFU med hensyn til hvorvidt det foreligger et brudd eller ikke. Tallene for </w:t>
      </w:r>
      <w:r w:rsidR="000F5CED">
        <w:rPr>
          <w:rFonts w:cstheme="minorHAnsi"/>
          <w:sz w:val="24"/>
        </w:rPr>
        <w:t>2020</w:t>
      </w:r>
      <w:r w:rsidRPr="006B1804">
        <w:rPr>
          <w:rFonts w:cstheme="minorHAnsi"/>
          <w:sz w:val="24"/>
        </w:rPr>
        <w:t xml:space="preserve"> bryter imidlertid til en viss grad med dette.</w:t>
      </w:r>
    </w:p>
    <w:p w14:paraId="24CD5D7B" w14:textId="77777777" w:rsidR="00006951" w:rsidRPr="006B1804" w:rsidRDefault="00006951" w:rsidP="007C0BCB">
      <w:pPr>
        <w:spacing w:before="80" w:after="0" w:line="240" w:lineRule="auto"/>
        <w:rPr>
          <w:rFonts w:cstheme="minorHAnsi"/>
          <w:i/>
          <w:sz w:val="20"/>
          <w:szCs w:val="20"/>
        </w:rPr>
      </w:pPr>
      <w:r w:rsidRPr="006B1804">
        <w:rPr>
          <w:rFonts w:cstheme="minorHAnsi"/>
          <w:i/>
          <w:noProof/>
          <w:sz w:val="20"/>
          <w:szCs w:val="20"/>
          <w:lang w:eastAsia="nb-NO"/>
        </w:rPr>
        <w:lastRenderedPageBreak/>
        <w:drawing>
          <wp:inline distT="0" distB="0" distL="0" distR="0" wp14:anchorId="73E1FDEA" wp14:editId="2B4C99A9">
            <wp:extent cx="5972810" cy="3981450"/>
            <wp:effectExtent l="0" t="0" r="889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4E1C4FF" w14:textId="75AF2BC7" w:rsidR="003E0818" w:rsidRDefault="007C0BCB" w:rsidP="007C0BCB">
      <w:pPr>
        <w:spacing w:before="80" w:after="0" w:line="240" w:lineRule="auto"/>
        <w:rPr>
          <w:rFonts w:cstheme="minorHAnsi"/>
          <w:i/>
          <w:sz w:val="20"/>
          <w:szCs w:val="20"/>
        </w:rPr>
      </w:pPr>
      <w:r w:rsidRPr="006B1804">
        <w:rPr>
          <w:rFonts w:cstheme="minorHAnsi"/>
          <w:i/>
          <w:sz w:val="20"/>
          <w:szCs w:val="20"/>
        </w:rPr>
        <w:t>Tabell 4: Antallet PFU-behandlede klager etter 4.14, og antall fellelser, årene 201</w:t>
      </w:r>
      <w:r w:rsidR="00741C10">
        <w:rPr>
          <w:rFonts w:cstheme="minorHAnsi"/>
          <w:i/>
          <w:sz w:val="20"/>
          <w:szCs w:val="20"/>
        </w:rPr>
        <w:t>5</w:t>
      </w:r>
      <w:r w:rsidRPr="006B1804">
        <w:rPr>
          <w:rFonts w:cstheme="minorHAnsi"/>
          <w:i/>
          <w:sz w:val="20"/>
          <w:szCs w:val="20"/>
        </w:rPr>
        <w:t>-20</w:t>
      </w:r>
      <w:r w:rsidR="00741C10">
        <w:rPr>
          <w:rFonts w:cstheme="minorHAnsi"/>
          <w:i/>
          <w:sz w:val="20"/>
          <w:szCs w:val="20"/>
        </w:rPr>
        <w:t>20</w:t>
      </w:r>
      <w:r w:rsidRPr="006B1804">
        <w:rPr>
          <w:rFonts w:cstheme="minorHAnsi"/>
          <w:i/>
          <w:sz w:val="20"/>
          <w:szCs w:val="20"/>
        </w:rPr>
        <w:t xml:space="preserve">.  </w:t>
      </w:r>
    </w:p>
    <w:p w14:paraId="5BB98E49" w14:textId="77777777" w:rsidR="00C87FEE" w:rsidRDefault="00C87FEE" w:rsidP="0008238A">
      <w:pPr>
        <w:rPr>
          <w:rFonts w:cstheme="minorHAnsi"/>
          <w:sz w:val="24"/>
        </w:rPr>
      </w:pPr>
    </w:p>
    <w:p w14:paraId="0CB7F9D2" w14:textId="1236CF40" w:rsidR="008F1487" w:rsidRPr="006B1804" w:rsidRDefault="00205014" w:rsidP="0008238A">
      <w:pPr>
        <w:rPr>
          <w:rFonts w:cstheme="minorHAnsi"/>
          <w:sz w:val="24"/>
        </w:rPr>
      </w:pPr>
      <w:r>
        <w:rPr>
          <w:rFonts w:cstheme="minorHAnsi"/>
          <w:sz w:val="24"/>
        </w:rPr>
        <w:t xml:space="preserve">Da </w:t>
      </w:r>
      <w:r w:rsidR="008223BF">
        <w:rPr>
          <w:rFonts w:cstheme="minorHAnsi"/>
          <w:sz w:val="24"/>
        </w:rPr>
        <w:t xml:space="preserve">Norsk Redaktørforening lanserte sin «4.14-skvadron» i 2013, så skjedde det i et skrekkår, som endte med hele 33 fellelser på punkt 4.14. </w:t>
      </w:r>
      <w:r w:rsidR="00006951" w:rsidRPr="006B1804">
        <w:rPr>
          <w:rFonts w:cstheme="minorHAnsi"/>
          <w:sz w:val="24"/>
        </w:rPr>
        <w:t>E</w:t>
      </w:r>
      <w:r w:rsidR="00F54398">
        <w:rPr>
          <w:rFonts w:cstheme="minorHAnsi"/>
          <w:sz w:val="24"/>
        </w:rPr>
        <w:t>tter det gikk</w:t>
      </w:r>
      <w:r w:rsidR="001B5E30" w:rsidRPr="006B1804">
        <w:rPr>
          <w:rFonts w:cstheme="minorHAnsi"/>
          <w:sz w:val="24"/>
        </w:rPr>
        <w:t xml:space="preserve"> </w:t>
      </w:r>
      <w:r w:rsidR="00006951" w:rsidRPr="006B1804">
        <w:rPr>
          <w:rFonts w:cstheme="minorHAnsi"/>
          <w:sz w:val="24"/>
        </w:rPr>
        <w:t xml:space="preserve">antallet 4.14-fellelser </w:t>
      </w:r>
      <w:r w:rsidR="001B5E30" w:rsidRPr="006B1804">
        <w:rPr>
          <w:rFonts w:cstheme="minorHAnsi"/>
          <w:sz w:val="24"/>
        </w:rPr>
        <w:t>markant ned i 201</w:t>
      </w:r>
      <w:r w:rsidR="000E214B">
        <w:rPr>
          <w:rFonts w:cstheme="minorHAnsi"/>
          <w:sz w:val="24"/>
        </w:rPr>
        <w:t>4</w:t>
      </w:r>
      <w:r w:rsidR="0086345C">
        <w:rPr>
          <w:rFonts w:cstheme="minorHAnsi"/>
          <w:sz w:val="24"/>
        </w:rPr>
        <w:t xml:space="preserve">. Tallet har imidlertid ikke gått </w:t>
      </w:r>
      <w:r w:rsidR="00913AAF">
        <w:rPr>
          <w:rFonts w:cstheme="minorHAnsi"/>
          <w:sz w:val="24"/>
        </w:rPr>
        <w:t>ytterligere nedover, dersom en ser utviklingen over tid</w:t>
      </w:r>
      <w:r w:rsidR="00004AA7">
        <w:rPr>
          <w:rFonts w:cstheme="minorHAnsi"/>
          <w:sz w:val="24"/>
        </w:rPr>
        <w:t xml:space="preserve">. Det har ligget og vippet på rundt 20 fellelser </w:t>
      </w:r>
      <w:r w:rsidR="007C5CF3">
        <w:rPr>
          <w:rFonts w:cstheme="minorHAnsi"/>
          <w:sz w:val="24"/>
        </w:rPr>
        <w:t>hvert år. 2019 var et lyspunkt, med 13 fellelser, men så var det tilbake til 24 fellelser i fjor.</w:t>
      </w:r>
      <w:r w:rsidR="007C0BCB" w:rsidRPr="006B1804">
        <w:rPr>
          <w:rFonts w:cstheme="minorHAnsi"/>
          <w:sz w:val="24"/>
        </w:rPr>
        <w:t xml:space="preserve"> </w:t>
      </w:r>
    </w:p>
    <w:p w14:paraId="2634AEAA" w14:textId="38A4322F" w:rsidR="00186B71" w:rsidRDefault="00D475B1" w:rsidP="0008238A">
      <w:pPr>
        <w:rPr>
          <w:rFonts w:cstheme="minorHAnsi"/>
          <w:sz w:val="24"/>
          <w:szCs w:val="24"/>
        </w:rPr>
      </w:pPr>
      <w:r>
        <w:rPr>
          <w:rFonts w:cstheme="minorHAnsi"/>
          <w:sz w:val="24"/>
          <w:szCs w:val="24"/>
        </w:rPr>
        <w:t xml:space="preserve">Utviklingen, eller retter sagt mangel på sådan, </w:t>
      </w:r>
      <w:r w:rsidR="00363F70">
        <w:rPr>
          <w:rFonts w:cstheme="minorHAnsi"/>
          <w:sz w:val="24"/>
          <w:szCs w:val="24"/>
        </w:rPr>
        <w:t xml:space="preserve">har aktualisert spørsmålet om NR bør </w:t>
      </w:r>
      <w:r w:rsidR="00C87FEE">
        <w:rPr>
          <w:rFonts w:cstheme="minorHAnsi"/>
          <w:sz w:val="24"/>
          <w:szCs w:val="24"/>
        </w:rPr>
        <w:t xml:space="preserve">mobilisere en ny «4.14-skvadron». </w:t>
      </w:r>
      <w:hyperlink r:id="rId22" w:history="1">
        <w:r w:rsidR="000F5CED" w:rsidRPr="000F5CED">
          <w:rPr>
            <w:rStyle w:val="Hyperkobling"/>
            <w:rFonts w:cstheme="minorHAnsi"/>
            <w:sz w:val="24"/>
            <w:szCs w:val="24"/>
          </w:rPr>
          <w:t>I forslaget til handlingsplan</w:t>
        </w:r>
      </w:hyperlink>
      <w:r w:rsidR="000F5CED">
        <w:rPr>
          <w:rFonts w:cstheme="minorHAnsi"/>
          <w:sz w:val="24"/>
          <w:szCs w:val="24"/>
        </w:rPr>
        <w:t xml:space="preserve"> for 2021-2023 som behandles på NRs landsmøte 3. mai 2021, er et av de foreslåtte tiltakene en ny storoffensiv på 4.14-feltet. </w:t>
      </w:r>
    </w:p>
    <w:p w14:paraId="4F2B7468" w14:textId="77777777" w:rsidR="000F5CED" w:rsidRPr="00186B71" w:rsidRDefault="000F5CED" w:rsidP="0008238A">
      <w:pPr>
        <w:rPr>
          <w:rFonts w:cstheme="minorHAnsi"/>
          <w:sz w:val="24"/>
          <w:szCs w:val="24"/>
        </w:rPr>
      </w:pPr>
    </w:p>
    <w:p w14:paraId="35668FEB" w14:textId="145DF382" w:rsidR="003E0818" w:rsidRPr="006B1804" w:rsidRDefault="0012308F" w:rsidP="003C3F85">
      <w:pPr>
        <w:spacing w:line="276" w:lineRule="auto"/>
        <w:contextualSpacing/>
        <w:rPr>
          <w:rFonts w:cstheme="minorHAnsi"/>
          <w:sz w:val="36"/>
          <w:szCs w:val="36"/>
        </w:rPr>
      </w:pPr>
      <w:r>
        <w:rPr>
          <w:rFonts w:cstheme="minorHAnsi"/>
          <w:sz w:val="36"/>
          <w:szCs w:val="36"/>
        </w:rPr>
        <w:t>Mye slurv i forbindelse med</w:t>
      </w:r>
      <w:r w:rsidR="00A167A1" w:rsidRPr="006B1804">
        <w:rPr>
          <w:rFonts w:cstheme="minorHAnsi"/>
          <w:sz w:val="36"/>
          <w:szCs w:val="36"/>
        </w:rPr>
        <w:t xml:space="preserve"> imøtegåelsesretten</w:t>
      </w:r>
    </w:p>
    <w:p w14:paraId="512406F3" w14:textId="77777777" w:rsidR="00A167A1" w:rsidRPr="006B1804" w:rsidRDefault="00A167A1" w:rsidP="003C3F85">
      <w:pPr>
        <w:spacing w:line="276" w:lineRule="auto"/>
        <w:contextualSpacing/>
        <w:rPr>
          <w:rFonts w:cstheme="minorHAnsi"/>
          <w:sz w:val="24"/>
        </w:rPr>
      </w:pPr>
      <w:r w:rsidRPr="006B1804">
        <w:rPr>
          <w:rFonts w:cstheme="minorHAnsi"/>
          <w:sz w:val="24"/>
        </w:rPr>
        <w:t xml:space="preserve">Selv om antallet fellelser etter Vær Varsom-plakatens punkt 4.14 holder seg jevnt høyt, kan det se ut som om </w:t>
      </w:r>
      <w:r w:rsidRPr="006B1804">
        <w:rPr>
          <w:rFonts w:cstheme="minorHAnsi"/>
          <w:i/>
          <w:sz w:val="24"/>
        </w:rPr>
        <w:t xml:space="preserve">årsaken </w:t>
      </w:r>
      <w:r w:rsidRPr="006B1804">
        <w:rPr>
          <w:rFonts w:cstheme="minorHAnsi"/>
          <w:sz w:val="24"/>
        </w:rPr>
        <w:t>til fellelsene varierer over tid. De mest påfallende trekkene de siste årene har vært følgende:</w:t>
      </w:r>
    </w:p>
    <w:p w14:paraId="0230E0F7" w14:textId="66A12980" w:rsidR="00A167A1" w:rsidRPr="006B1804" w:rsidRDefault="00A167A1" w:rsidP="004767E3">
      <w:pPr>
        <w:pStyle w:val="Listeavsnitt"/>
        <w:numPr>
          <w:ilvl w:val="0"/>
          <w:numId w:val="1"/>
        </w:numPr>
        <w:spacing w:after="0" w:line="276" w:lineRule="auto"/>
        <w:rPr>
          <w:rFonts w:cstheme="minorHAnsi"/>
          <w:sz w:val="24"/>
        </w:rPr>
      </w:pPr>
      <w:r w:rsidRPr="006B1804">
        <w:rPr>
          <w:rFonts w:cstheme="minorHAnsi"/>
          <w:sz w:val="24"/>
        </w:rPr>
        <w:t xml:space="preserve">2013: Mange syntes overhodet ikke å ha </w:t>
      </w:r>
      <w:r w:rsidR="00D707ED" w:rsidRPr="006B1804">
        <w:rPr>
          <w:rFonts w:cstheme="minorHAnsi"/>
          <w:sz w:val="24"/>
        </w:rPr>
        <w:t>tenkt på retten til samtidig imøtegåelse</w:t>
      </w:r>
      <w:r w:rsidRPr="006B1804">
        <w:rPr>
          <w:rFonts w:cstheme="minorHAnsi"/>
          <w:sz w:val="24"/>
        </w:rPr>
        <w:t xml:space="preserve">. </w:t>
      </w:r>
    </w:p>
    <w:p w14:paraId="76095C7C" w14:textId="1B09CFC8" w:rsidR="00144166" w:rsidRPr="006B1804" w:rsidRDefault="0008238A" w:rsidP="004767E3">
      <w:pPr>
        <w:pStyle w:val="Listeavsnitt"/>
        <w:numPr>
          <w:ilvl w:val="0"/>
          <w:numId w:val="1"/>
        </w:numPr>
        <w:spacing w:after="0" w:line="276" w:lineRule="auto"/>
        <w:rPr>
          <w:rFonts w:cstheme="minorHAnsi"/>
          <w:sz w:val="24"/>
        </w:rPr>
      </w:pPr>
      <w:r w:rsidRPr="006B1804">
        <w:rPr>
          <w:rFonts w:cstheme="minorHAnsi"/>
          <w:sz w:val="24"/>
        </w:rPr>
        <w:t>2014 og særlig 2015</w:t>
      </w:r>
    </w:p>
    <w:p w14:paraId="602DF27D" w14:textId="0E25FC09" w:rsidR="00144166" w:rsidRPr="006B1804" w:rsidRDefault="000F5CED" w:rsidP="003C3F85">
      <w:pPr>
        <w:spacing w:after="0" w:line="276" w:lineRule="auto"/>
        <w:ind w:left="360"/>
        <w:rPr>
          <w:rFonts w:cstheme="minorHAnsi"/>
          <w:sz w:val="24"/>
        </w:rPr>
      </w:pPr>
      <w:r>
        <w:rPr>
          <w:rFonts w:cstheme="minorHAnsi"/>
          <w:sz w:val="24"/>
        </w:rPr>
        <w:lastRenderedPageBreak/>
        <w:t xml:space="preserve">     </w:t>
      </w:r>
      <w:r w:rsidR="00A167A1" w:rsidRPr="006B1804">
        <w:rPr>
          <w:rFonts w:cstheme="minorHAnsi"/>
          <w:sz w:val="24"/>
        </w:rPr>
        <w:t xml:space="preserve">- </w:t>
      </w:r>
      <w:r>
        <w:rPr>
          <w:rFonts w:cstheme="minorHAnsi"/>
          <w:sz w:val="24"/>
        </w:rPr>
        <w:t>M</w:t>
      </w:r>
      <w:r w:rsidR="00A167A1" w:rsidRPr="006B1804">
        <w:rPr>
          <w:rFonts w:cstheme="minorHAnsi"/>
          <w:sz w:val="24"/>
        </w:rPr>
        <w:t xml:space="preserve">ange har </w:t>
      </w:r>
      <w:r w:rsidR="0008238A" w:rsidRPr="006B1804">
        <w:rPr>
          <w:rFonts w:cstheme="minorHAnsi"/>
          <w:sz w:val="24"/>
        </w:rPr>
        <w:t>ikke anstrengt seg nok for å innhente imøtegåelsen</w:t>
      </w:r>
    </w:p>
    <w:p w14:paraId="5DBC7F8C" w14:textId="6242B045" w:rsidR="00144166" w:rsidRPr="006B1804" w:rsidRDefault="00A167A1" w:rsidP="004767E3">
      <w:pPr>
        <w:spacing w:after="0" w:line="276" w:lineRule="auto"/>
        <w:rPr>
          <w:rFonts w:cstheme="minorHAnsi"/>
          <w:sz w:val="24"/>
        </w:rPr>
      </w:pPr>
      <w:r w:rsidRPr="006B1804">
        <w:rPr>
          <w:rFonts w:cstheme="minorHAnsi"/>
          <w:sz w:val="24"/>
        </w:rPr>
        <w:t xml:space="preserve">           - </w:t>
      </w:r>
      <w:r w:rsidR="0008238A" w:rsidRPr="006B1804">
        <w:rPr>
          <w:rFonts w:cstheme="minorHAnsi"/>
          <w:sz w:val="24"/>
        </w:rPr>
        <w:t xml:space="preserve"> </w:t>
      </w:r>
      <w:r w:rsidR="000F5CED">
        <w:rPr>
          <w:rFonts w:cstheme="minorHAnsi"/>
          <w:sz w:val="24"/>
        </w:rPr>
        <w:t>M</w:t>
      </w:r>
      <w:r w:rsidRPr="006B1804">
        <w:rPr>
          <w:rFonts w:cstheme="minorHAnsi"/>
          <w:sz w:val="24"/>
        </w:rPr>
        <w:t>ange sørget ikke for å få</w:t>
      </w:r>
      <w:r w:rsidR="0008238A" w:rsidRPr="006B1804">
        <w:rPr>
          <w:rFonts w:cstheme="minorHAnsi"/>
          <w:sz w:val="24"/>
        </w:rPr>
        <w:t xml:space="preserve"> dokumenter</w:t>
      </w:r>
      <w:r w:rsidRPr="006B1804">
        <w:rPr>
          <w:rFonts w:cstheme="minorHAnsi"/>
          <w:sz w:val="24"/>
        </w:rPr>
        <w:t>t</w:t>
      </w:r>
      <w:r w:rsidR="0008238A" w:rsidRPr="006B1804">
        <w:rPr>
          <w:rFonts w:cstheme="minorHAnsi"/>
          <w:sz w:val="24"/>
        </w:rPr>
        <w:t xml:space="preserve"> forsøkene som </w:t>
      </w:r>
      <w:r w:rsidRPr="006B1804">
        <w:rPr>
          <w:rFonts w:cstheme="minorHAnsi"/>
          <w:sz w:val="24"/>
        </w:rPr>
        <w:t>ble</w:t>
      </w:r>
      <w:r w:rsidR="0008238A" w:rsidRPr="006B1804">
        <w:rPr>
          <w:rFonts w:cstheme="minorHAnsi"/>
          <w:sz w:val="24"/>
        </w:rPr>
        <w:t xml:space="preserve"> gjort </w:t>
      </w:r>
    </w:p>
    <w:p w14:paraId="23760B68" w14:textId="33714074" w:rsidR="0008238A" w:rsidRPr="006B1804" w:rsidRDefault="00A167A1" w:rsidP="004767E3">
      <w:pPr>
        <w:spacing w:after="0" w:line="276" w:lineRule="auto"/>
        <w:rPr>
          <w:rFonts w:cstheme="minorHAnsi"/>
          <w:sz w:val="24"/>
        </w:rPr>
      </w:pPr>
      <w:r w:rsidRPr="006B1804">
        <w:rPr>
          <w:rFonts w:cstheme="minorHAnsi"/>
          <w:sz w:val="24"/>
        </w:rPr>
        <w:t xml:space="preserve">           -  </w:t>
      </w:r>
      <w:r w:rsidR="000F5CED">
        <w:rPr>
          <w:rFonts w:cstheme="minorHAnsi"/>
          <w:sz w:val="24"/>
        </w:rPr>
        <w:t>M</w:t>
      </w:r>
      <w:r w:rsidRPr="006B1804">
        <w:rPr>
          <w:rFonts w:cstheme="minorHAnsi"/>
          <w:sz w:val="24"/>
        </w:rPr>
        <w:t xml:space="preserve">ange </w:t>
      </w:r>
      <w:r w:rsidR="0008238A" w:rsidRPr="006B1804">
        <w:rPr>
          <w:rFonts w:cstheme="minorHAnsi"/>
          <w:sz w:val="24"/>
        </w:rPr>
        <w:t>slurve</w:t>
      </w:r>
      <w:r w:rsidR="00D707ED" w:rsidRPr="006B1804">
        <w:rPr>
          <w:rFonts w:cstheme="minorHAnsi"/>
          <w:sz w:val="24"/>
        </w:rPr>
        <w:t>t med å gjengi beskyldningene</w:t>
      </w:r>
      <w:r w:rsidRPr="006B1804">
        <w:rPr>
          <w:rFonts w:cstheme="minorHAnsi"/>
          <w:sz w:val="24"/>
        </w:rPr>
        <w:t xml:space="preserve"> overfor angrepet part</w:t>
      </w:r>
    </w:p>
    <w:p w14:paraId="5A07BB6D" w14:textId="1AC25F82" w:rsidR="00FC7C38" w:rsidRPr="006B1804" w:rsidRDefault="00A167A1" w:rsidP="004767E3">
      <w:pPr>
        <w:pStyle w:val="Listeavsnitt"/>
        <w:numPr>
          <w:ilvl w:val="0"/>
          <w:numId w:val="1"/>
        </w:numPr>
        <w:spacing w:after="0" w:line="276" w:lineRule="auto"/>
        <w:rPr>
          <w:rFonts w:cstheme="minorHAnsi"/>
          <w:sz w:val="24"/>
        </w:rPr>
      </w:pPr>
      <w:r w:rsidRPr="006B1804">
        <w:rPr>
          <w:rFonts w:cstheme="minorHAnsi"/>
          <w:sz w:val="24"/>
        </w:rPr>
        <w:t xml:space="preserve">2016: </w:t>
      </w:r>
      <w:r w:rsidR="000F5CED">
        <w:rPr>
          <w:rFonts w:cstheme="minorHAnsi"/>
          <w:sz w:val="24"/>
        </w:rPr>
        <w:t>M</w:t>
      </w:r>
      <w:r w:rsidRPr="006B1804">
        <w:rPr>
          <w:rFonts w:cstheme="minorHAnsi"/>
          <w:sz w:val="24"/>
        </w:rPr>
        <w:t>ange redaksjoner mente</w:t>
      </w:r>
      <w:r w:rsidR="00D707ED" w:rsidRPr="006B1804">
        <w:rPr>
          <w:rFonts w:cstheme="minorHAnsi"/>
          <w:sz w:val="24"/>
        </w:rPr>
        <w:t xml:space="preserve"> de fremsatte påstandene eller opplysningene</w:t>
      </w:r>
      <w:r w:rsidRPr="006B1804">
        <w:rPr>
          <w:rFonts w:cstheme="minorHAnsi"/>
          <w:sz w:val="24"/>
        </w:rPr>
        <w:t xml:space="preserve"> ikke</w:t>
      </w:r>
      <w:r w:rsidR="00D707ED" w:rsidRPr="006B1804">
        <w:rPr>
          <w:rFonts w:cstheme="minorHAnsi"/>
          <w:sz w:val="24"/>
        </w:rPr>
        <w:t xml:space="preserve"> utløste imøtegåelsesretten. </w:t>
      </w:r>
    </w:p>
    <w:p w14:paraId="784D6214" w14:textId="2DD6CF00" w:rsidR="0079005A" w:rsidRPr="00E77202" w:rsidRDefault="00A167A1" w:rsidP="00E77202">
      <w:pPr>
        <w:pStyle w:val="Listeavsnitt"/>
        <w:numPr>
          <w:ilvl w:val="0"/>
          <w:numId w:val="1"/>
        </w:numPr>
        <w:rPr>
          <w:rFonts w:cstheme="minorHAnsi"/>
          <w:sz w:val="24"/>
        </w:rPr>
      </w:pPr>
      <w:r w:rsidRPr="00E77202">
        <w:rPr>
          <w:rFonts w:cstheme="minorHAnsi"/>
          <w:sz w:val="24"/>
        </w:rPr>
        <w:t>2017</w:t>
      </w:r>
      <w:r w:rsidR="0012308F">
        <w:rPr>
          <w:rFonts w:cstheme="minorHAnsi"/>
          <w:sz w:val="24"/>
        </w:rPr>
        <w:t>:</w:t>
      </w:r>
      <w:r w:rsidRPr="00E77202">
        <w:rPr>
          <w:rFonts w:cstheme="minorHAnsi"/>
          <w:sz w:val="24"/>
        </w:rPr>
        <w:t xml:space="preserve"> </w:t>
      </w:r>
      <w:r w:rsidR="000F5CED">
        <w:rPr>
          <w:rFonts w:cstheme="minorHAnsi"/>
          <w:sz w:val="24"/>
        </w:rPr>
        <w:t>P</w:t>
      </w:r>
      <w:r w:rsidRPr="00E77202">
        <w:rPr>
          <w:rFonts w:cstheme="minorHAnsi"/>
          <w:sz w:val="24"/>
        </w:rPr>
        <w:t>åfallende at halvparten av fellelsene skyldes at redaksjonene ikke klart å presentere alle relevante beskyldninger for den angrepne part</w:t>
      </w:r>
      <w:r w:rsidR="0079005A" w:rsidRPr="00E77202">
        <w:rPr>
          <w:rFonts w:cstheme="minorHAnsi"/>
          <w:sz w:val="24"/>
        </w:rPr>
        <w:t xml:space="preserve">. Selv om redaksjonene i noen tilfeller skulle være uenige i hva som faller innenfor eller utenfor rammene for den samtidige imøtegåelsesretten, så er det en enkel måte å unngå fellelser på dette punktet: </w:t>
      </w:r>
    </w:p>
    <w:p w14:paraId="6E537935" w14:textId="2FD71C98" w:rsidR="0079005A" w:rsidRPr="006B1804" w:rsidRDefault="0079005A" w:rsidP="00E77202">
      <w:pPr>
        <w:pStyle w:val="Listeavsnitt"/>
        <w:numPr>
          <w:ilvl w:val="0"/>
          <w:numId w:val="4"/>
        </w:numPr>
        <w:rPr>
          <w:rFonts w:cstheme="minorHAnsi"/>
          <w:sz w:val="24"/>
        </w:rPr>
      </w:pPr>
      <w:r w:rsidRPr="006B1804">
        <w:rPr>
          <w:rFonts w:cstheme="minorHAnsi"/>
          <w:sz w:val="24"/>
        </w:rPr>
        <w:t xml:space="preserve">Forelegg alle påstander og beskyldninger som angår den angrepne part. </w:t>
      </w:r>
    </w:p>
    <w:p w14:paraId="2D27ABA7" w14:textId="30DC0AA0" w:rsidR="00A167A1" w:rsidRDefault="0079005A" w:rsidP="00E77202">
      <w:pPr>
        <w:pStyle w:val="Listeavsnitt"/>
        <w:numPr>
          <w:ilvl w:val="0"/>
          <w:numId w:val="4"/>
        </w:numPr>
        <w:rPr>
          <w:rFonts w:cstheme="minorHAnsi"/>
          <w:sz w:val="24"/>
        </w:rPr>
      </w:pPr>
      <w:r w:rsidRPr="006B1804">
        <w:rPr>
          <w:rFonts w:cstheme="minorHAnsi"/>
          <w:sz w:val="24"/>
        </w:rPr>
        <w:t>Sørg for å dokumentere at påstandene er lagt frem og at det er gitt anledning til å imøtegå dem.</w:t>
      </w:r>
    </w:p>
    <w:p w14:paraId="2127D257" w14:textId="5B6FB273" w:rsidR="008B6816" w:rsidRPr="00626C48" w:rsidRDefault="008B6816" w:rsidP="00626C48">
      <w:pPr>
        <w:pStyle w:val="Listeavsnitt"/>
        <w:numPr>
          <w:ilvl w:val="0"/>
          <w:numId w:val="1"/>
        </w:numPr>
        <w:rPr>
          <w:rFonts w:cstheme="minorHAnsi"/>
          <w:sz w:val="24"/>
        </w:rPr>
      </w:pPr>
      <w:r w:rsidRPr="00626C48">
        <w:rPr>
          <w:rFonts w:cstheme="minorHAnsi"/>
          <w:sz w:val="24"/>
        </w:rPr>
        <w:t>2018</w:t>
      </w:r>
      <w:r w:rsidR="00626C48">
        <w:rPr>
          <w:rFonts w:cstheme="minorHAnsi"/>
          <w:sz w:val="24"/>
        </w:rPr>
        <w:t>:</w:t>
      </w:r>
      <w:r w:rsidR="0012308F" w:rsidRPr="00626C48">
        <w:rPr>
          <w:rFonts w:cstheme="minorHAnsi"/>
          <w:sz w:val="24"/>
        </w:rPr>
        <w:t xml:space="preserve"> </w:t>
      </w:r>
      <w:r w:rsidR="000F5CED">
        <w:rPr>
          <w:rFonts w:cstheme="minorHAnsi"/>
          <w:sz w:val="24"/>
        </w:rPr>
        <w:t>E</w:t>
      </w:r>
      <w:r w:rsidR="0012308F" w:rsidRPr="00626C48">
        <w:rPr>
          <w:rFonts w:cstheme="minorHAnsi"/>
          <w:sz w:val="24"/>
        </w:rPr>
        <w:t>n salig blanding av årsaker bak de 21 fellelsene. I et par tilfeller har redaksjonen overhodet ikke forsøkt å få tak i den som blir utsatt for beskyldninger</w:t>
      </w:r>
      <w:r w:rsidR="006D4C62">
        <w:rPr>
          <w:rFonts w:cstheme="minorHAnsi"/>
          <w:sz w:val="24"/>
        </w:rPr>
        <w:t>. I</w:t>
      </w:r>
      <w:r w:rsidR="0012308F" w:rsidRPr="00626C48">
        <w:rPr>
          <w:rFonts w:cstheme="minorHAnsi"/>
          <w:sz w:val="24"/>
        </w:rPr>
        <w:t xml:space="preserve"> andre tilfeller har man ikke anstrengt seg nok. I et par tilfeller er gamle anklager gjentatt, uten at imøtegåelsen er tatt med eller at det er gitt åpning for en ny imøtegåelse. Vi ser flere eksempler på at redaksjonen ikke har gjengitt klagene fullstendig og konkret, og vi har eksempler på at det er innhentet imøtegåelse fra en part som ikke kan svare på vegne av klager. Alt dette er klassikere, som vi trodde det var mulig å bli kvitt.</w:t>
      </w:r>
    </w:p>
    <w:p w14:paraId="0C713845" w14:textId="671DD365" w:rsidR="00ED1765" w:rsidRDefault="00ED1765" w:rsidP="00ED1765">
      <w:pPr>
        <w:pStyle w:val="Listeavsnitt"/>
        <w:numPr>
          <w:ilvl w:val="0"/>
          <w:numId w:val="1"/>
        </w:numPr>
        <w:rPr>
          <w:rFonts w:cstheme="minorHAnsi"/>
          <w:sz w:val="24"/>
        </w:rPr>
      </w:pPr>
      <w:r>
        <w:rPr>
          <w:rFonts w:cstheme="minorHAnsi"/>
          <w:sz w:val="24"/>
        </w:rPr>
        <w:t xml:space="preserve">2019: </w:t>
      </w:r>
      <w:r w:rsidR="00516C0A">
        <w:rPr>
          <w:rFonts w:cstheme="minorHAnsi"/>
          <w:sz w:val="24"/>
        </w:rPr>
        <w:t xml:space="preserve">Av de 13 fellelsene er det i åtte av dem ikke gitt anledning til samtidig imøtegåelse. </w:t>
      </w:r>
      <w:r w:rsidR="00F84706">
        <w:rPr>
          <w:rFonts w:cstheme="minorHAnsi"/>
          <w:sz w:val="24"/>
        </w:rPr>
        <w:t xml:space="preserve">I et par tilfeller fordi redaksjonen tilsynelatende ikke har forstått at </w:t>
      </w:r>
      <w:r w:rsidR="0094521F">
        <w:rPr>
          <w:rFonts w:cstheme="minorHAnsi"/>
          <w:sz w:val="24"/>
        </w:rPr>
        <w:t>retten ble utløst</w:t>
      </w:r>
      <w:r w:rsidR="009D7505">
        <w:rPr>
          <w:rFonts w:cstheme="minorHAnsi"/>
          <w:sz w:val="24"/>
        </w:rPr>
        <w:t>. I</w:t>
      </w:r>
      <w:r w:rsidR="0094521F">
        <w:rPr>
          <w:rFonts w:cstheme="minorHAnsi"/>
          <w:sz w:val="24"/>
        </w:rPr>
        <w:t xml:space="preserve"> et par tilfeller fordi </w:t>
      </w:r>
      <w:r w:rsidR="00564973">
        <w:rPr>
          <w:rFonts w:cstheme="minorHAnsi"/>
          <w:sz w:val="24"/>
        </w:rPr>
        <w:t xml:space="preserve">man mente </w:t>
      </w:r>
      <w:r w:rsidR="001D5EC0">
        <w:rPr>
          <w:rFonts w:cstheme="minorHAnsi"/>
          <w:sz w:val="24"/>
        </w:rPr>
        <w:t xml:space="preserve">den beskyldningene ble utsatt for var tilstrekkelig anonymisert. </w:t>
      </w:r>
      <w:r w:rsidR="00B9194B">
        <w:rPr>
          <w:rFonts w:cstheme="minorHAnsi"/>
          <w:sz w:val="24"/>
        </w:rPr>
        <w:t>I fire av sakene</w:t>
      </w:r>
      <w:r w:rsidR="00357304">
        <w:rPr>
          <w:rFonts w:cstheme="minorHAnsi"/>
          <w:sz w:val="24"/>
        </w:rPr>
        <w:t xml:space="preserve"> var ikke beskyldningene gjengitt </w:t>
      </w:r>
      <w:r w:rsidR="001463AC">
        <w:rPr>
          <w:rFonts w:cstheme="minorHAnsi"/>
          <w:sz w:val="24"/>
        </w:rPr>
        <w:t>fullstendig eller konkret nok</w:t>
      </w:r>
      <w:r w:rsidR="00D34579">
        <w:rPr>
          <w:rFonts w:cstheme="minorHAnsi"/>
          <w:sz w:val="24"/>
        </w:rPr>
        <w:t xml:space="preserve"> og i ett tilfelle (kringkasting) var ikke imøtegåelsen gjengitt godt nok. Det mest interessante med 2019 er </w:t>
      </w:r>
      <w:proofErr w:type="gramStart"/>
      <w:r w:rsidR="00D34579">
        <w:rPr>
          <w:rFonts w:cstheme="minorHAnsi"/>
          <w:sz w:val="24"/>
        </w:rPr>
        <w:t>for øvrig</w:t>
      </w:r>
      <w:proofErr w:type="gramEnd"/>
      <w:r w:rsidR="00D34579">
        <w:rPr>
          <w:rFonts w:cstheme="minorHAnsi"/>
          <w:sz w:val="24"/>
        </w:rPr>
        <w:t xml:space="preserve"> at hele fire av de 13 redaksjonene erkjente at de hadde brutt med 4.14 og at samtidig imøtegåelse burde vært innhentet.</w:t>
      </w:r>
    </w:p>
    <w:p w14:paraId="02CCAA71" w14:textId="7E43BFED" w:rsidR="00D34579" w:rsidRPr="00ED1765" w:rsidRDefault="00D34579" w:rsidP="00ED1765">
      <w:pPr>
        <w:pStyle w:val="Listeavsnitt"/>
        <w:numPr>
          <w:ilvl w:val="0"/>
          <w:numId w:val="1"/>
        </w:numPr>
        <w:rPr>
          <w:rFonts w:cstheme="minorHAnsi"/>
          <w:sz w:val="24"/>
        </w:rPr>
      </w:pPr>
      <w:r>
        <w:rPr>
          <w:rFonts w:cstheme="minorHAnsi"/>
          <w:sz w:val="24"/>
        </w:rPr>
        <w:t xml:space="preserve">2020: </w:t>
      </w:r>
      <w:r w:rsidR="002C5179">
        <w:rPr>
          <w:rFonts w:cstheme="minorHAnsi"/>
          <w:sz w:val="24"/>
        </w:rPr>
        <w:t xml:space="preserve">I likhet med 2018 er også 2020 en «salig blanding» av </w:t>
      </w:r>
      <w:r w:rsidR="00632995">
        <w:rPr>
          <w:rFonts w:cstheme="minorHAnsi"/>
          <w:sz w:val="24"/>
        </w:rPr>
        <w:t>årsaker og forklaringer.</w:t>
      </w:r>
      <w:r w:rsidR="009C17E5">
        <w:rPr>
          <w:rFonts w:cstheme="minorHAnsi"/>
          <w:sz w:val="24"/>
        </w:rPr>
        <w:t xml:space="preserve"> I hele 13 saker ble ikke klager kontaktet overhodet, dels fordi redaksjonen mente det ikke var snakk om «sterke beskyldninger», dels fordi man men</w:t>
      </w:r>
      <w:r w:rsidR="000334F0">
        <w:rPr>
          <w:rFonts w:cstheme="minorHAnsi"/>
          <w:sz w:val="24"/>
        </w:rPr>
        <w:t xml:space="preserve">te kritikken var rettet mot andre enn klager, dels </w:t>
      </w:r>
      <w:r w:rsidR="00AC6921">
        <w:rPr>
          <w:rFonts w:cstheme="minorHAnsi"/>
          <w:sz w:val="24"/>
        </w:rPr>
        <w:t>fordi man mente klager var anonymisert.</w:t>
      </w:r>
      <w:r w:rsidR="00632995">
        <w:rPr>
          <w:rFonts w:cstheme="minorHAnsi"/>
          <w:sz w:val="24"/>
        </w:rPr>
        <w:t xml:space="preserve"> </w:t>
      </w:r>
      <w:r w:rsidR="003F656A">
        <w:rPr>
          <w:rFonts w:cstheme="minorHAnsi"/>
          <w:sz w:val="24"/>
        </w:rPr>
        <w:t>I fire saker har ikke redaksjonen gjengitt fullstendige og konkrete beskyldninger.</w:t>
      </w:r>
      <w:r w:rsidR="008E32A5">
        <w:rPr>
          <w:rFonts w:cstheme="minorHAnsi"/>
          <w:sz w:val="24"/>
        </w:rPr>
        <w:t xml:space="preserve"> Verdt </w:t>
      </w:r>
      <w:r w:rsidR="00CB126C">
        <w:rPr>
          <w:rFonts w:cstheme="minorHAnsi"/>
          <w:sz w:val="24"/>
        </w:rPr>
        <w:t xml:space="preserve">å merke seg er at også i 2020 var det en fellelse på utilstrekkelig gjengivelse av imøtegåelse, og at </w:t>
      </w:r>
      <w:r w:rsidR="00B35F1F">
        <w:rPr>
          <w:rFonts w:cstheme="minorHAnsi"/>
          <w:sz w:val="24"/>
        </w:rPr>
        <w:t xml:space="preserve">det også i </w:t>
      </w:r>
      <w:r w:rsidR="009D7505">
        <w:rPr>
          <w:rFonts w:cstheme="minorHAnsi"/>
          <w:sz w:val="24"/>
        </w:rPr>
        <w:t>2020</w:t>
      </w:r>
      <w:r w:rsidR="00B35F1F">
        <w:rPr>
          <w:rFonts w:cstheme="minorHAnsi"/>
          <w:sz w:val="24"/>
        </w:rPr>
        <w:t xml:space="preserve"> var fire redaksjoner som i tilsvarsrunden erkjente brudd på 4.14.</w:t>
      </w:r>
      <w:r w:rsidR="009D7505">
        <w:rPr>
          <w:rFonts w:cstheme="minorHAnsi"/>
          <w:sz w:val="24"/>
        </w:rPr>
        <w:t xml:space="preserve"> </w:t>
      </w:r>
    </w:p>
    <w:p w14:paraId="3C8FDAAE" w14:textId="02B8AA5D" w:rsidR="008B6816" w:rsidRDefault="008B6816" w:rsidP="0079005A">
      <w:pPr>
        <w:rPr>
          <w:rFonts w:cstheme="minorHAnsi"/>
          <w:sz w:val="24"/>
        </w:rPr>
      </w:pPr>
      <w:r>
        <w:rPr>
          <w:rFonts w:cstheme="minorHAnsi"/>
          <w:sz w:val="24"/>
        </w:rPr>
        <w:t>Følgende redaksjoner ble felt på 4.14 (brudd eller kritikk) i 201</w:t>
      </w:r>
      <w:r w:rsidR="00D33A89">
        <w:rPr>
          <w:rFonts w:cstheme="minorHAnsi"/>
          <w:sz w:val="24"/>
        </w:rPr>
        <w:t>9</w:t>
      </w:r>
      <w:r>
        <w:rPr>
          <w:rFonts w:cstheme="minorHAnsi"/>
          <w:sz w:val="24"/>
        </w:rPr>
        <w:t xml:space="preserve"> og med begrunnelse:</w:t>
      </w:r>
    </w:p>
    <w:p w14:paraId="342B2766" w14:textId="29AF19AC" w:rsidR="00D33A89" w:rsidRDefault="007A1E2F" w:rsidP="008B6816">
      <w:pPr>
        <w:pStyle w:val="Listeavsnitt"/>
        <w:numPr>
          <w:ilvl w:val="0"/>
          <w:numId w:val="1"/>
        </w:numPr>
        <w:rPr>
          <w:rFonts w:cstheme="minorHAnsi"/>
          <w:sz w:val="24"/>
        </w:rPr>
      </w:pPr>
      <w:hyperlink r:id="rId23" w:history="1">
        <w:r w:rsidR="000A4323" w:rsidRPr="003C730A">
          <w:rPr>
            <w:rStyle w:val="Hyperkobling"/>
            <w:rFonts w:cstheme="minorHAnsi"/>
            <w:sz w:val="24"/>
          </w:rPr>
          <w:t>Sak 2019</w:t>
        </w:r>
        <w:r w:rsidR="00CF1258" w:rsidRPr="003C730A">
          <w:rPr>
            <w:rStyle w:val="Hyperkobling"/>
            <w:rFonts w:cstheme="minorHAnsi"/>
            <w:sz w:val="24"/>
          </w:rPr>
          <w:t>-094</w:t>
        </w:r>
      </w:hyperlink>
      <w:r w:rsidR="00CF1258">
        <w:rPr>
          <w:rFonts w:cstheme="minorHAnsi"/>
          <w:sz w:val="24"/>
        </w:rPr>
        <w:t xml:space="preserve"> </w:t>
      </w:r>
      <w:r w:rsidR="008E2A97">
        <w:rPr>
          <w:rFonts w:cstheme="minorHAnsi"/>
          <w:sz w:val="24"/>
        </w:rPr>
        <w:t>–</w:t>
      </w:r>
      <w:r w:rsidR="00F2405D">
        <w:rPr>
          <w:rFonts w:cstheme="minorHAnsi"/>
          <w:sz w:val="24"/>
        </w:rPr>
        <w:t xml:space="preserve"> </w:t>
      </w:r>
      <w:r w:rsidR="001F3362">
        <w:rPr>
          <w:rFonts w:cstheme="minorHAnsi"/>
          <w:sz w:val="24"/>
        </w:rPr>
        <w:t>Klassekampen</w:t>
      </w:r>
      <w:r w:rsidR="008E2A97">
        <w:rPr>
          <w:rFonts w:cstheme="minorHAnsi"/>
          <w:sz w:val="24"/>
        </w:rPr>
        <w:t xml:space="preserve"> </w:t>
      </w:r>
      <w:r w:rsidR="0092360C">
        <w:rPr>
          <w:rFonts w:cstheme="minorHAnsi"/>
          <w:sz w:val="24"/>
        </w:rPr>
        <w:t>–</w:t>
      </w:r>
      <w:r w:rsidR="008E2A97">
        <w:rPr>
          <w:rFonts w:cstheme="minorHAnsi"/>
          <w:sz w:val="24"/>
        </w:rPr>
        <w:t xml:space="preserve"> </w:t>
      </w:r>
      <w:r w:rsidR="0092360C">
        <w:rPr>
          <w:rFonts w:cstheme="minorHAnsi"/>
          <w:sz w:val="24"/>
        </w:rPr>
        <w:t>ikke gitt anledning –</w:t>
      </w:r>
      <w:r w:rsidR="00C923F2">
        <w:rPr>
          <w:rFonts w:cstheme="minorHAnsi"/>
          <w:sz w:val="24"/>
        </w:rPr>
        <w:t xml:space="preserve"> intervju om</w:t>
      </w:r>
      <w:r w:rsidR="00C61907">
        <w:rPr>
          <w:rFonts w:cstheme="minorHAnsi"/>
          <w:sz w:val="24"/>
        </w:rPr>
        <w:t xml:space="preserve"> private</w:t>
      </w:r>
      <w:r w:rsidR="0092360C">
        <w:rPr>
          <w:rFonts w:cstheme="minorHAnsi"/>
          <w:sz w:val="24"/>
        </w:rPr>
        <w:t xml:space="preserve"> forhold</w:t>
      </w:r>
      <w:r w:rsidR="00D3119B">
        <w:rPr>
          <w:rFonts w:cstheme="minorHAnsi"/>
          <w:sz w:val="24"/>
        </w:rPr>
        <w:t>.</w:t>
      </w:r>
    </w:p>
    <w:p w14:paraId="7EE0DE7D" w14:textId="04A0D8F0" w:rsidR="003C730A" w:rsidRDefault="007A1E2F" w:rsidP="008B6816">
      <w:pPr>
        <w:pStyle w:val="Listeavsnitt"/>
        <w:numPr>
          <w:ilvl w:val="0"/>
          <w:numId w:val="1"/>
        </w:numPr>
        <w:rPr>
          <w:rFonts w:cstheme="minorHAnsi"/>
          <w:sz w:val="24"/>
        </w:rPr>
      </w:pPr>
      <w:hyperlink r:id="rId24" w:history="1">
        <w:r w:rsidR="00C923F2" w:rsidRPr="00DF6CA2">
          <w:rPr>
            <w:rStyle w:val="Hyperkobling"/>
            <w:rFonts w:cstheme="minorHAnsi"/>
            <w:sz w:val="24"/>
          </w:rPr>
          <w:t>Sak 2019-086</w:t>
        </w:r>
      </w:hyperlink>
      <w:r w:rsidR="00C923F2">
        <w:rPr>
          <w:rFonts w:cstheme="minorHAnsi"/>
          <w:sz w:val="24"/>
        </w:rPr>
        <w:t xml:space="preserve"> – Lofotposten – ikke gitt anledning</w:t>
      </w:r>
      <w:r w:rsidR="00C61907">
        <w:rPr>
          <w:rFonts w:cstheme="minorHAnsi"/>
          <w:sz w:val="24"/>
        </w:rPr>
        <w:t xml:space="preserve"> </w:t>
      </w:r>
      <w:r w:rsidR="00DF6CA2">
        <w:rPr>
          <w:rFonts w:cstheme="minorHAnsi"/>
          <w:sz w:val="24"/>
        </w:rPr>
        <w:t>–</w:t>
      </w:r>
      <w:r w:rsidR="00C61907">
        <w:rPr>
          <w:rFonts w:cstheme="minorHAnsi"/>
          <w:sz w:val="24"/>
        </w:rPr>
        <w:t xml:space="preserve"> </w:t>
      </w:r>
      <w:r w:rsidR="00DF6CA2">
        <w:rPr>
          <w:rFonts w:cstheme="minorHAnsi"/>
          <w:sz w:val="24"/>
        </w:rPr>
        <w:t>mente klager var anonymisert</w:t>
      </w:r>
      <w:r w:rsidR="00D3119B">
        <w:rPr>
          <w:rFonts w:cstheme="minorHAnsi"/>
          <w:sz w:val="24"/>
        </w:rPr>
        <w:t>.</w:t>
      </w:r>
    </w:p>
    <w:p w14:paraId="2BFA9816" w14:textId="5F6E76E9" w:rsidR="00DF6CA2" w:rsidRDefault="007A1E2F" w:rsidP="008B6816">
      <w:pPr>
        <w:pStyle w:val="Listeavsnitt"/>
        <w:numPr>
          <w:ilvl w:val="0"/>
          <w:numId w:val="1"/>
        </w:numPr>
        <w:rPr>
          <w:rFonts w:cstheme="minorHAnsi"/>
          <w:sz w:val="24"/>
        </w:rPr>
      </w:pPr>
      <w:hyperlink r:id="rId25" w:history="1">
        <w:r w:rsidR="00A6376E" w:rsidRPr="00D3119B">
          <w:rPr>
            <w:rStyle w:val="Hyperkobling"/>
            <w:rFonts w:cstheme="minorHAnsi"/>
            <w:sz w:val="24"/>
          </w:rPr>
          <w:t>Sak 2019-0</w:t>
        </w:r>
        <w:r w:rsidR="00935C2C">
          <w:rPr>
            <w:rStyle w:val="Hyperkobling"/>
            <w:rFonts w:cstheme="minorHAnsi"/>
            <w:sz w:val="24"/>
          </w:rPr>
          <w:t>8</w:t>
        </w:r>
        <w:r w:rsidR="00A6376E" w:rsidRPr="00D3119B">
          <w:rPr>
            <w:rStyle w:val="Hyperkobling"/>
            <w:rFonts w:cstheme="minorHAnsi"/>
            <w:sz w:val="24"/>
          </w:rPr>
          <w:t>3</w:t>
        </w:r>
      </w:hyperlink>
      <w:r w:rsidR="00A6376E">
        <w:rPr>
          <w:rFonts w:cstheme="minorHAnsi"/>
          <w:sz w:val="24"/>
        </w:rPr>
        <w:t xml:space="preserve"> </w:t>
      </w:r>
      <w:r w:rsidR="00D3119B">
        <w:rPr>
          <w:rFonts w:cstheme="minorHAnsi"/>
          <w:sz w:val="24"/>
        </w:rPr>
        <w:t>–</w:t>
      </w:r>
      <w:r w:rsidR="00A6376E">
        <w:rPr>
          <w:rFonts w:cstheme="minorHAnsi"/>
          <w:sz w:val="24"/>
        </w:rPr>
        <w:t xml:space="preserve"> </w:t>
      </w:r>
      <w:proofErr w:type="spellStart"/>
      <w:r w:rsidR="00A6376E">
        <w:rPr>
          <w:rFonts w:cstheme="minorHAnsi"/>
          <w:sz w:val="24"/>
        </w:rPr>
        <w:t>Øksn</w:t>
      </w:r>
      <w:r w:rsidR="00D3119B">
        <w:rPr>
          <w:rFonts w:cstheme="minorHAnsi"/>
          <w:sz w:val="24"/>
        </w:rPr>
        <w:t>esavisa</w:t>
      </w:r>
      <w:proofErr w:type="spellEnd"/>
      <w:r w:rsidR="00D3119B">
        <w:rPr>
          <w:rFonts w:cstheme="minorHAnsi"/>
          <w:sz w:val="24"/>
        </w:rPr>
        <w:t xml:space="preserve"> – ikke presentert for sentrale beskyldninger.</w:t>
      </w:r>
    </w:p>
    <w:p w14:paraId="36A46ABC" w14:textId="67D562AC" w:rsidR="00D3119B" w:rsidRDefault="007A1E2F" w:rsidP="008B6816">
      <w:pPr>
        <w:pStyle w:val="Listeavsnitt"/>
        <w:numPr>
          <w:ilvl w:val="0"/>
          <w:numId w:val="1"/>
        </w:numPr>
        <w:rPr>
          <w:rFonts w:cstheme="minorHAnsi"/>
          <w:sz w:val="24"/>
        </w:rPr>
      </w:pPr>
      <w:hyperlink r:id="rId26" w:history="1">
        <w:r w:rsidR="00974DE2" w:rsidRPr="00BA49C9">
          <w:rPr>
            <w:rStyle w:val="Hyperkobling"/>
            <w:rFonts w:cstheme="minorHAnsi"/>
            <w:sz w:val="24"/>
          </w:rPr>
          <w:t>Sak 2019-080</w:t>
        </w:r>
      </w:hyperlink>
      <w:r w:rsidR="00B614C9">
        <w:rPr>
          <w:rFonts w:cstheme="minorHAnsi"/>
          <w:sz w:val="24"/>
        </w:rPr>
        <w:t xml:space="preserve"> – Bergens Tidende </w:t>
      </w:r>
      <w:r w:rsidR="00BB69BF">
        <w:rPr>
          <w:rFonts w:cstheme="minorHAnsi"/>
          <w:sz w:val="24"/>
        </w:rPr>
        <w:t>–</w:t>
      </w:r>
      <w:r w:rsidR="00B614C9">
        <w:rPr>
          <w:rFonts w:cstheme="minorHAnsi"/>
          <w:sz w:val="24"/>
        </w:rPr>
        <w:t xml:space="preserve"> </w:t>
      </w:r>
      <w:r w:rsidR="00BB69BF">
        <w:rPr>
          <w:rFonts w:cstheme="minorHAnsi"/>
          <w:sz w:val="24"/>
        </w:rPr>
        <w:t xml:space="preserve">tok selvkritikk – ikke godt nok </w:t>
      </w:r>
      <w:r w:rsidR="006002E2">
        <w:rPr>
          <w:rFonts w:cstheme="minorHAnsi"/>
          <w:sz w:val="24"/>
        </w:rPr>
        <w:t>anonymisert</w:t>
      </w:r>
      <w:r w:rsidR="00A25891">
        <w:rPr>
          <w:rFonts w:cstheme="minorHAnsi"/>
          <w:sz w:val="24"/>
        </w:rPr>
        <w:t>.</w:t>
      </w:r>
    </w:p>
    <w:p w14:paraId="3384377E" w14:textId="63AFFAC1" w:rsidR="00B51831" w:rsidRDefault="007A1E2F" w:rsidP="008B6816">
      <w:pPr>
        <w:pStyle w:val="Listeavsnitt"/>
        <w:numPr>
          <w:ilvl w:val="0"/>
          <w:numId w:val="1"/>
        </w:numPr>
        <w:rPr>
          <w:rFonts w:cstheme="minorHAnsi"/>
          <w:sz w:val="24"/>
        </w:rPr>
      </w:pPr>
      <w:hyperlink r:id="rId27" w:history="1">
        <w:r w:rsidR="000E1F00" w:rsidRPr="00A25891">
          <w:rPr>
            <w:rStyle w:val="Hyperkobling"/>
            <w:rFonts w:cstheme="minorHAnsi"/>
            <w:sz w:val="24"/>
          </w:rPr>
          <w:t xml:space="preserve">Sak </w:t>
        </w:r>
        <w:r w:rsidR="00AD6089" w:rsidRPr="00A25891">
          <w:rPr>
            <w:rStyle w:val="Hyperkobling"/>
            <w:rFonts w:cstheme="minorHAnsi"/>
            <w:sz w:val="24"/>
          </w:rPr>
          <w:t>2019-079</w:t>
        </w:r>
      </w:hyperlink>
      <w:r w:rsidR="00AD6089">
        <w:rPr>
          <w:rFonts w:cstheme="minorHAnsi"/>
          <w:sz w:val="24"/>
        </w:rPr>
        <w:t xml:space="preserve"> – Tidens Krav </w:t>
      </w:r>
      <w:r w:rsidR="00A25891">
        <w:rPr>
          <w:rFonts w:cstheme="minorHAnsi"/>
          <w:sz w:val="24"/>
        </w:rPr>
        <w:t>–</w:t>
      </w:r>
      <w:r w:rsidR="00AD6089">
        <w:rPr>
          <w:rFonts w:cstheme="minorHAnsi"/>
          <w:sz w:val="24"/>
        </w:rPr>
        <w:t xml:space="preserve"> </w:t>
      </w:r>
      <w:r w:rsidR="00A25891">
        <w:rPr>
          <w:rFonts w:cstheme="minorHAnsi"/>
          <w:sz w:val="24"/>
        </w:rPr>
        <w:t>ikke presentert for det konkrete innholdet.</w:t>
      </w:r>
    </w:p>
    <w:p w14:paraId="68050783" w14:textId="107B3A91" w:rsidR="00A25891" w:rsidRDefault="007A1E2F" w:rsidP="008B6816">
      <w:pPr>
        <w:pStyle w:val="Listeavsnitt"/>
        <w:numPr>
          <w:ilvl w:val="0"/>
          <w:numId w:val="1"/>
        </w:numPr>
        <w:rPr>
          <w:rFonts w:cstheme="minorHAnsi"/>
          <w:sz w:val="24"/>
        </w:rPr>
      </w:pPr>
      <w:hyperlink r:id="rId28" w:history="1">
        <w:r w:rsidR="00A25891" w:rsidRPr="00A369B9">
          <w:rPr>
            <w:rStyle w:val="Hyperkobling"/>
            <w:rFonts w:cstheme="minorHAnsi"/>
            <w:sz w:val="24"/>
          </w:rPr>
          <w:t xml:space="preserve">Sak </w:t>
        </w:r>
        <w:r w:rsidR="007472CF" w:rsidRPr="00A369B9">
          <w:rPr>
            <w:rStyle w:val="Hyperkobling"/>
            <w:rFonts w:cstheme="minorHAnsi"/>
            <w:sz w:val="24"/>
          </w:rPr>
          <w:t>2019-039</w:t>
        </w:r>
      </w:hyperlink>
      <w:r w:rsidR="007472CF">
        <w:rPr>
          <w:rFonts w:cstheme="minorHAnsi"/>
          <w:sz w:val="24"/>
        </w:rPr>
        <w:t xml:space="preserve"> </w:t>
      </w:r>
      <w:r w:rsidR="005204D9">
        <w:rPr>
          <w:rFonts w:cstheme="minorHAnsi"/>
          <w:sz w:val="24"/>
        </w:rPr>
        <w:t>–</w:t>
      </w:r>
      <w:r w:rsidR="007472CF">
        <w:rPr>
          <w:rFonts w:cstheme="minorHAnsi"/>
          <w:sz w:val="24"/>
        </w:rPr>
        <w:t xml:space="preserve"> </w:t>
      </w:r>
      <w:r w:rsidR="005204D9">
        <w:rPr>
          <w:rFonts w:cstheme="minorHAnsi"/>
          <w:sz w:val="24"/>
        </w:rPr>
        <w:t xml:space="preserve">Finansavisen </w:t>
      </w:r>
      <w:r w:rsidR="0088552B">
        <w:rPr>
          <w:rFonts w:cstheme="minorHAnsi"/>
          <w:sz w:val="24"/>
        </w:rPr>
        <w:t>–</w:t>
      </w:r>
      <w:r w:rsidR="002B4B6A">
        <w:rPr>
          <w:rFonts w:cstheme="minorHAnsi"/>
          <w:sz w:val="24"/>
        </w:rPr>
        <w:t xml:space="preserve"> </w:t>
      </w:r>
      <w:r w:rsidR="0088552B">
        <w:rPr>
          <w:rFonts w:cstheme="minorHAnsi"/>
          <w:sz w:val="24"/>
        </w:rPr>
        <w:t xml:space="preserve">ikke presentert for fullstendige </w:t>
      </w:r>
      <w:r w:rsidR="005C2710">
        <w:rPr>
          <w:rFonts w:cstheme="minorHAnsi"/>
          <w:sz w:val="24"/>
        </w:rPr>
        <w:t>beskyldninger.</w:t>
      </w:r>
    </w:p>
    <w:p w14:paraId="6673FDE5" w14:textId="7263C2B7" w:rsidR="00A25891" w:rsidRDefault="007A1E2F" w:rsidP="008B6816">
      <w:pPr>
        <w:pStyle w:val="Listeavsnitt"/>
        <w:numPr>
          <w:ilvl w:val="0"/>
          <w:numId w:val="1"/>
        </w:numPr>
        <w:rPr>
          <w:rFonts w:cstheme="minorHAnsi"/>
          <w:sz w:val="24"/>
        </w:rPr>
      </w:pPr>
      <w:hyperlink r:id="rId29" w:history="1">
        <w:r w:rsidR="0065339A" w:rsidRPr="00807366">
          <w:rPr>
            <w:rStyle w:val="Hyperkobling"/>
            <w:rFonts w:cstheme="minorHAnsi"/>
            <w:sz w:val="24"/>
          </w:rPr>
          <w:t>Sak 2019-</w:t>
        </w:r>
        <w:r w:rsidR="007C4075" w:rsidRPr="00807366">
          <w:rPr>
            <w:rStyle w:val="Hyperkobling"/>
            <w:rFonts w:cstheme="minorHAnsi"/>
            <w:sz w:val="24"/>
          </w:rPr>
          <w:t>034</w:t>
        </w:r>
      </w:hyperlink>
      <w:r w:rsidR="007C4075">
        <w:rPr>
          <w:rFonts w:cstheme="minorHAnsi"/>
          <w:sz w:val="24"/>
        </w:rPr>
        <w:t xml:space="preserve"> – Enebakk Avis </w:t>
      </w:r>
      <w:r w:rsidR="00481E9B">
        <w:rPr>
          <w:rFonts w:cstheme="minorHAnsi"/>
          <w:sz w:val="24"/>
        </w:rPr>
        <w:t>–</w:t>
      </w:r>
      <w:r w:rsidR="007C4075">
        <w:rPr>
          <w:rFonts w:cstheme="minorHAnsi"/>
          <w:sz w:val="24"/>
        </w:rPr>
        <w:t xml:space="preserve"> </w:t>
      </w:r>
      <w:r w:rsidR="00481E9B">
        <w:rPr>
          <w:rFonts w:cstheme="minorHAnsi"/>
          <w:sz w:val="24"/>
        </w:rPr>
        <w:t xml:space="preserve">beskyldt </w:t>
      </w:r>
      <w:r w:rsidR="00893B23">
        <w:rPr>
          <w:rFonts w:cstheme="minorHAnsi"/>
          <w:sz w:val="24"/>
        </w:rPr>
        <w:t>for lovbrudd i leserinnlegg</w:t>
      </w:r>
      <w:r w:rsidR="00807366">
        <w:rPr>
          <w:rFonts w:cstheme="minorHAnsi"/>
          <w:sz w:val="24"/>
        </w:rPr>
        <w:t>.</w:t>
      </w:r>
    </w:p>
    <w:p w14:paraId="29132B4C" w14:textId="63F02A4E" w:rsidR="00807366" w:rsidRDefault="007A1E2F" w:rsidP="008B6816">
      <w:pPr>
        <w:pStyle w:val="Listeavsnitt"/>
        <w:numPr>
          <w:ilvl w:val="0"/>
          <w:numId w:val="1"/>
        </w:numPr>
        <w:rPr>
          <w:rFonts w:cstheme="minorHAnsi"/>
          <w:sz w:val="24"/>
        </w:rPr>
      </w:pPr>
      <w:hyperlink r:id="rId30" w:history="1">
        <w:r w:rsidR="00807366" w:rsidRPr="00805D1C">
          <w:rPr>
            <w:rStyle w:val="Hyperkobling"/>
            <w:rFonts w:cstheme="minorHAnsi"/>
            <w:sz w:val="24"/>
          </w:rPr>
          <w:t xml:space="preserve">Sak </w:t>
        </w:r>
        <w:r w:rsidR="004C16AD" w:rsidRPr="00805D1C">
          <w:rPr>
            <w:rStyle w:val="Hyperkobling"/>
            <w:rFonts w:cstheme="minorHAnsi"/>
            <w:sz w:val="24"/>
          </w:rPr>
          <w:t>2019-022</w:t>
        </w:r>
      </w:hyperlink>
      <w:r w:rsidR="004C16AD">
        <w:rPr>
          <w:rFonts w:cstheme="minorHAnsi"/>
          <w:sz w:val="24"/>
        </w:rPr>
        <w:t xml:space="preserve"> – Stavanger Aftenblad </w:t>
      </w:r>
      <w:r w:rsidR="00FD497B">
        <w:rPr>
          <w:rFonts w:cstheme="minorHAnsi"/>
          <w:sz w:val="24"/>
        </w:rPr>
        <w:t>–</w:t>
      </w:r>
      <w:r w:rsidR="004C16AD">
        <w:rPr>
          <w:rFonts w:cstheme="minorHAnsi"/>
          <w:sz w:val="24"/>
        </w:rPr>
        <w:t xml:space="preserve"> </w:t>
      </w:r>
      <w:r w:rsidR="00FD497B">
        <w:rPr>
          <w:rFonts w:cstheme="minorHAnsi"/>
          <w:sz w:val="24"/>
        </w:rPr>
        <w:t>ikke fremlagt fullstendige beskyldninger.</w:t>
      </w:r>
    </w:p>
    <w:p w14:paraId="399B8C01" w14:textId="3A0029DD" w:rsidR="00805D1C" w:rsidRDefault="007A1E2F" w:rsidP="008B6816">
      <w:pPr>
        <w:pStyle w:val="Listeavsnitt"/>
        <w:numPr>
          <w:ilvl w:val="0"/>
          <w:numId w:val="1"/>
        </w:numPr>
        <w:rPr>
          <w:rFonts w:cstheme="minorHAnsi"/>
          <w:sz w:val="24"/>
        </w:rPr>
      </w:pPr>
      <w:hyperlink r:id="rId31" w:history="1">
        <w:r w:rsidR="00694F92" w:rsidRPr="00A83B16">
          <w:rPr>
            <w:rStyle w:val="Hyperkobling"/>
            <w:rFonts w:cstheme="minorHAnsi"/>
            <w:sz w:val="24"/>
          </w:rPr>
          <w:t>Sak 2019-</w:t>
        </w:r>
        <w:r w:rsidR="0024007F">
          <w:rPr>
            <w:rStyle w:val="Hyperkobling"/>
            <w:rFonts w:cstheme="minorHAnsi"/>
            <w:sz w:val="24"/>
          </w:rPr>
          <w:t>0</w:t>
        </w:r>
        <w:r w:rsidR="00694F92" w:rsidRPr="00A83B16">
          <w:rPr>
            <w:rStyle w:val="Hyperkobling"/>
            <w:rFonts w:cstheme="minorHAnsi"/>
            <w:sz w:val="24"/>
          </w:rPr>
          <w:t>21</w:t>
        </w:r>
      </w:hyperlink>
      <w:r w:rsidR="00694F92">
        <w:rPr>
          <w:rFonts w:cstheme="minorHAnsi"/>
          <w:sz w:val="24"/>
        </w:rPr>
        <w:t xml:space="preserve"> – Rogalands Avis </w:t>
      </w:r>
      <w:r w:rsidR="00A83B16">
        <w:rPr>
          <w:rFonts w:cstheme="minorHAnsi"/>
          <w:sz w:val="24"/>
        </w:rPr>
        <w:t>–</w:t>
      </w:r>
      <w:r w:rsidR="00694F92">
        <w:rPr>
          <w:rFonts w:cstheme="minorHAnsi"/>
          <w:sz w:val="24"/>
        </w:rPr>
        <w:t xml:space="preserve"> </w:t>
      </w:r>
      <w:r w:rsidR="00A83B16">
        <w:rPr>
          <w:rFonts w:cstheme="minorHAnsi"/>
          <w:sz w:val="24"/>
        </w:rPr>
        <w:t>svikt i rutinene – erkjente brudd på 4.14.</w:t>
      </w:r>
    </w:p>
    <w:p w14:paraId="12F6F387" w14:textId="6A5D8B91" w:rsidR="00A83B16" w:rsidRDefault="007A1E2F" w:rsidP="008B6816">
      <w:pPr>
        <w:pStyle w:val="Listeavsnitt"/>
        <w:numPr>
          <w:ilvl w:val="0"/>
          <w:numId w:val="1"/>
        </w:numPr>
        <w:rPr>
          <w:rFonts w:cstheme="minorHAnsi"/>
          <w:sz w:val="24"/>
        </w:rPr>
      </w:pPr>
      <w:hyperlink r:id="rId32" w:history="1">
        <w:r w:rsidR="003E49AD" w:rsidRPr="00A57D4E">
          <w:rPr>
            <w:rStyle w:val="Hyperkobling"/>
            <w:rFonts w:cstheme="minorHAnsi"/>
            <w:sz w:val="24"/>
          </w:rPr>
          <w:t>Sak 2018-274</w:t>
        </w:r>
      </w:hyperlink>
      <w:r w:rsidR="003E49AD">
        <w:rPr>
          <w:rFonts w:cstheme="minorHAnsi"/>
          <w:sz w:val="24"/>
        </w:rPr>
        <w:t xml:space="preserve"> – Bergensavisen </w:t>
      </w:r>
      <w:r w:rsidR="00D836AF">
        <w:rPr>
          <w:rFonts w:cstheme="minorHAnsi"/>
          <w:sz w:val="24"/>
        </w:rPr>
        <w:t>–</w:t>
      </w:r>
      <w:r w:rsidR="003E49AD">
        <w:rPr>
          <w:rFonts w:cstheme="minorHAnsi"/>
          <w:sz w:val="24"/>
        </w:rPr>
        <w:t xml:space="preserve"> </w:t>
      </w:r>
      <w:r w:rsidR="00D836AF">
        <w:rPr>
          <w:rFonts w:cstheme="minorHAnsi"/>
          <w:sz w:val="24"/>
        </w:rPr>
        <w:t>erkjente brudd på 4.14</w:t>
      </w:r>
      <w:r w:rsidR="00CD462B">
        <w:rPr>
          <w:rFonts w:cstheme="minorHAnsi"/>
          <w:sz w:val="24"/>
        </w:rPr>
        <w:t xml:space="preserve"> – ikke gitt anledning.</w:t>
      </w:r>
    </w:p>
    <w:p w14:paraId="66737EAB" w14:textId="4A47C31B" w:rsidR="00A57D4E" w:rsidRDefault="007A1E2F" w:rsidP="008B6816">
      <w:pPr>
        <w:pStyle w:val="Listeavsnitt"/>
        <w:numPr>
          <w:ilvl w:val="0"/>
          <w:numId w:val="1"/>
        </w:numPr>
        <w:rPr>
          <w:rFonts w:cstheme="minorHAnsi"/>
          <w:sz w:val="24"/>
        </w:rPr>
      </w:pPr>
      <w:hyperlink r:id="rId33" w:history="1">
        <w:r w:rsidR="00D675AC" w:rsidRPr="00593639">
          <w:rPr>
            <w:rStyle w:val="Hyperkobling"/>
            <w:rFonts w:cstheme="minorHAnsi"/>
            <w:sz w:val="24"/>
          </w:rPr>
          <w:t>Sak 2018-273</w:t>
        </w:r>
      </w:hyperlink>
      <w:r w:rsidR="00D675AC">
        <w:rPr>
          <w:rFonts w:cstheme="minorHAnsi"/>
          <w:sz w:val="24"/>
        </w:rPr>
        <w:t xml:space="preserve"> – Josimar </w:t>
      </w:r>
      <w:r w:rsidR="00935EF9">
        <w:rPr>
          <w:rFonts w:cstheme="minorHAnsi"/>
          <w:sz w:val="24"/>
        </w:rPr>
        <w:t>–</w:t>
      </w:r>
      <w:r w:rsidR="00D675AC">
        <w:rPr>
          <w:rFonts w:cstheme="minorHAnsi"/>
          <w:sz w:val="24"/>
        </w:rPr>
        <w:t xml:space="preserve"> </w:t>
      </w:r>
      <w:r w:rsidR="00935EF9">
        <w:rPr>
          <w:rFonts w:cstheme="minorHAnsi"/>
          <w:sz w:val="24"/>
        </w:rPr>
        <w:t xml:space="preserve">erkjente brudd på </w:t>
      </w:r>
      <w:r w:rsidR="00821579">
        <w:rPr>
          <w:rFonts w:cstheme="minorHAnsi"/>
          <w:sz w:val="24"/>
        </w:rPr>
        <w:t>4.14 – ikke gitt anledning.</w:t>
      </w:r>
    </w:p>
    <w:p w14:paraId="4309BA23" w14:textId="7DABC109" w:rsidR="00ED38F0" w:rsidRDefault="007A1E2F" w:rsidP="008B6816">
      <w:pPr>
        <w:pStyle w:val="Listeavsnitt"/>
        <w:numPr>
          <w:ilvl w:val="0"/>
          <w:numId w:val="1"/>
        </w:numPr>
        <w:rPr>
          <w:rFonts w:cstheme="minorHAnsi"/>
          <w:sz w:val="24"/>
        </w:rPr>
      </w:pPr>
      <w:hyperlink r:id="rId34" w:history="1">
        <w:r w:rsidR="00F10D63" w:rsidRPr="00900BEA">
          <w:rPr>
            <w:rStyle w:val="Hyperkobling"/>
            <w:rFonts w:cstheme="minorHAnsi"/>
            <w:sz w:val="24"/>
          </w:rPr>
          <w:t>Sak 2018-</w:t>
        </w:r>
        <w:r w:rsidR="00BB35F5" w:rsidRPr="00900BEA">
          <w:rPr>
            <w:rStyle w:val="Hyperkobling"/>
            <w:rFonts w:cstheme="minorHAnsi"/>
            <w:sz w:val="24"/>
          </w:rPr>
          <w:t>254</w:t>
        </w:r>
      </w:hyperlink>
      <w:r w:rsidR="00BB35F5">
        <w:rPr>
          <w:rFonts w:cstheme="minorHAnsi"/>
          <w:sz w:val="24"/>
        </w:rPr>
        <w:t xml:space="preserve"> </w:t>
      </w:r>
      <w:r w:rsidR="00A35B59">
        <w:rPr>
          <w:rFonts w:cstheme="minorHAnsi"/>
          <w:sz w:val="24"/>
        </w:rPr>
        <w:t>–</w:t>
      </w:r>
      <w:r w:rsidR="00BB35F5">
        <w:rPr>
          <w:rFonts w:cstheme="minorHAnsi"/>
          <w:sz w:val="24"/>
        </w:rPr>
        <w:t xml:space="preserve"> </w:t>
      </w:r>
      <w:r w:rsidR="00A35B59">
        <w:rPr>
          <w:rFonts w:cstheme="minorHAnsi"/>
          <w:sz w:val="24"/>
        </w:rPr>
        <w:t xml:space="preserve">Raumnes </w:t>
      </w:r>
      <w:r w:rsidR="00A7394F">
        <w:rPr>
          <w:rFonts w:cstheme="minorHAnsi"/>
          <w:sz w:val="24"/>
        </w:rPr>
        <w:t>–</w:t>
      </w:r>
      <w:r w:rsidR="00A35B59">
        <w:rPr>
          <w:rFonts w:cstheme="minorHAnsi"/>
          <w:sz w:val="24"/>
        </w:rPr>
        <w:t xml:space="preserve"> </w:t>
      </w:r>
      <w:r w:rsidR="00A7394F">
        <w:rPr>
          <w:rFonts w:cstheme="minorHAnsi"/>
          <w:sz w:val="24"/>
        </w:rPr>
        <w:t>erkjente brudd på 4.14 – ikke gitt anledning.</w:t>
      </w:r>
    </w:p>
    <w:p w14:paraId="08CBD2BE" w14:textId="266705E5" w:rsidR="00900BEA" w:rsidRDefault="007A1E2F" w:rsidP="008B6816">
      <w:pPr>
        <w:pStyle w:val="Listeavsnitt"/>
        <w:numPr>
          <w:ilvl w:val="0"/>
          <w:numId w:val="1"/>
        </w:numPr>
        <w:rPr>
          <w:rFonts w:cstheme="minorHAnsi"/>
          <w:sz w:val="24"/>
        </w:rPr>
      </w:pPr>
      <w:hyperlink r:id="rId35" w:history="1">
        <w:r w:rsidR="008F0B88" w:rsidRPr="00F37473">
          <w:rPr>
            <w:rStyle w:val="Hyperkobling"/>
            <w:rFonts w:cstheme="minorHAnsi"/>
            <w:sz w:val="24"/>
          </w:rPr>
          <w:t>Sak 2018-253</w:t>
        </w:r>
      </w:hyperlink>
      <w:r w:rsidR="008F0B88">
        <w:rPr>
          <w:rFonts w:cstheme="minorHAnsi"/>
          <w:sz w:val="24"/>
        </w:rPr>
        <w:t xml:space="preserve"> </w:t>
      </w:r>
      <w:r w:rsidR="002A17AD">
        <w:rPr>
          <w:rFonts w:cstheme="minorHAnsi"/>
          <w:sz w:val="24"/>
        </w:rPr>
        <w:t>–</w:t>
      </w:r>
      <w:r w:rsidR="008F0B88">
        <w:rPr>
          <w:rFonts w:cstheme="minorHAnsi"/>
          <w:sz w:val="24"/>
        </w:rPr>
        <w:t xml:space="preserve"> </w:t>
      </w:r>
      <w:r w:rsidR="002A17AD">
        <w:rPr>
          <w:rFonts w:cstheme="minorHAnsi"/>
          <w:sz w:val="24"/>
        </w:rPr>
        <w:t>NRK</w:t>
      </w:r>
      <w:r w:rsidR="00D94562">
        <w:rPr>
          <w:rFonts w:cstheme="minorHAnsi"/>
          <w:sz w:val="24"/>
        </w:rPr>
        <w:t xml:space="preserve"> </w:t>
      </w:r>
      <w:r w:rsidR="002A17AD">
        <w:rPr>
          <w:rFonts w:cstheme="minorHAnsi"/>
          <w:sz w:val="24"/>
        </w:rPr>
        <w:t xml:space="preserve">Brennpunkt </w:t>
      </w:r>
      <w:r w:rsidR="006C601F">
        <w:rPr>
          <w:rFonts w:cstheme="minorHAnsi"/>
          <w:sz w:val="24"/>
        </w:rPr>
        <w:t>–</w:t>
      </w:r>
      <w:r w:rsidR="002A17AD">
        <w:rPr>
          <w:rFonts w:cstheme="minorHAnsi"/>
          <w:sz w:val="24"/>
        </w:rPr>
        <w:t xml:space="preserve"> </w:t>
      </w:r>
      <w:r w:rsidR="006C601F">
        <w:rPr>
          <w:rFonts w:cstheme="minorHAnsi"/>
          <w:sz w:val="24"/>
        </w:rPr>
        <w:t>mangelfull gjengivelse</w:t>
      </w:r>
      <w:r w:rsidR="00D94562">
        <w:rPr>
          <w:rFonts w:cstheme="minorHAnsi"/>
          <w:sz w:val="24"/>
        </w:rPr>
        <w:t xml:space="preserve"> av </w:t>
      </w:r>
      <w:proofErr w:type="spellStart"/>
      <w:r w:rsidR="00D94562">
        <w:rPr>
          <w:rFonts w:cstheme="minorHAnsi"/>
          <w:sz w:val="24"/>
        </w:rPr>
        <w:t>imøteg</w:t>
      </w:r>
      <w:proofErr w:type="spellEnd"/>
      <w:r w:rsidR="00D94562">
        <w:rPr>
          <w:rFonts w:cstheme="minorHAnsi"/>
          <w:sz w:val="24"/>
        </w:rPr>
        <w:t>.</w:t>
      </w:r>
      <w:r w:rsidR="007E69D8">
        <w:rPr>
          <w:rFonts w:cstheme="minorHAnsi"/>
          <w:sz w:val="24"/>
        </w:rPr>
        <w:t xml:space="preserve">, </w:t>
      </w:r>
      <w:proofErr w:type="spellStart"/>
      <w:r w:rsidR="007E69D8">
        <w:rPr>
          <w:rFonts w:cstheme="minorHAnsi"/>
          <w:sz w:val="24"/>
        </w:rPr>
        <w:t>jfr</w:t>
      </w:r>
      <w:proofErr w:type="spellEnd"/>
      <w:r w:rsidR="007E69D8">
        <w:rPr>
          <w:rFonts w:cstheme="minorHAnsi"/>
          <w:sz w:val="24"/>
        </w:rPr>
        <w:t xml:space="preserve"> sak </w:t>
      </w:r>
      <w:r w:rsidR="00D94562">
        <w:rPr>
          <w:rFonts w:cstheme="minorHAnsi"/>
          <w:sz w:val="24"/>
        </w:rPr>
        <w:t>2020-099</w:t>
      </w:r>
      <w:r w:rsidR="009D7505">
        <w:rPr>
          <w:rFonts w:cstheme="minorHAnsi"/>
          <w:sz w:val="24"/>
        </w:rPr>
        <w:t>.</w:t>
      </w:r>
    </w:p>
    <w:p w14:paraId="71D12A8C" w14:textId="77777777" w:rsidR="0024007F" w:rsidRDefault="0024007F" w:rsidP="0024007F">
      <w:pPr>
        <w:rPr>
          <w:rFonts w:cstheme="minorHAnsi"/>
          <w:sz w:val="24"/>
        </w:rPr>
      </w:pPr>
    </w:p>
    <w:p w14:paraId="74D8C2DB" w14:textId="72992B67" w:rsidR="0024007F" w:rsidRDefault="0024007F" w:rsidP="0024007F">
      <w:pPr>
        <w:rPr>
          <w:rFonts w:cstheme="minorHAnsi"/>
          <w:sz w:val="24"/>
        </w:rPr>
      </w:pPr>
      <w:r>
        <w:rPr>
          <w:rFonts w:cstheme="minorHAnsi"/>
          <w:sz w:val="24"/>
        </w:rPr>
        <w:t>Og disse ble felt på 4.14 i 2020:</w:t>
      </w:r>
    </w:p>
    <w:p w14:paraId="4EFDB211" w14:textId="711438D4" w:rsidR="0024007F" w:rsidRDefault="007A1E2F" w:rsidP="0024007F">
      <w:pPr>
        <w:pStyle w:val="Listeavsnitt"/>
        <w:numPr>
          <w:ilvl w:val="0"/>
          <w:numId w:val="1"/>
        </w:numPr>
        <w:rPr>
          <w:rFonts w:cstheme="minorHAnsi"/>
          <w:sz w:val="24"/>
        </w:rPr>
      </w:pPr>
      <w:hyperlink r:id="rId36" w:history="1">
        <w:r w:rsidR="0024007F" w:rsidRPr="0098415B">
          <w:rPr>
            <w:rStyle w:val="Hyperkobling"/>
            <w:rFonts w:cstheme="minorHAnsi"/>
            <w:sz w:val="24"/>
          </w:rPr>
          <w:t xml:space="preserve">Sak </w:t>
        </w:r>
        <w:r w:rsidR="00952CF6" w:rsidRPr="0098415B">
          <w:rPr>
            <w:rStyle w:val="Hyperkobling"/>
            <w:rFonts w:cstheme="minorHAnsi"/>
            <w:sz w:val="24"/>
          </w:rPr>
          <w:t>2020</w:t>
        </w:r>
        <w:r w:rsidR="00457BFC" w:rsidRPr="0098415B">
          <w:rPr>
            <w:rStyle w:val="Hyperkobling"/>
            <w:rFonts w:cstheme="minorHAnsi"/>
            <w:sz w:val="24"/>
          </w:rPr>
          <w:t>-151</w:t>
        </w:r>
      </w:hyperlink>
      <w:r w:rsidR="00457BFC">
        <w:rPr>
          <w:rFonts w:cstheme="minorHAnsi"/>
          <w:sz w:val="24"/>
        </w:rPr>
        <w:t xml:space="preserve"> – Oppland Arbeiderblad </w:t>
      </w:r>
      <w:r w:rsidR="0002014B">
        <w:rPr>
          <w:rFonts w:cstheme="minorHAnsi"/>
          <w:sz w:val="24"/>
        </w:rPr>
        <w:t>–</w:t>
      </w:r>
      <w:r w:rsidR="00457BFC">
        <w:rPr>
          <w:rFonts w:cstheme="minorHAnsi"/>
          <w:sz w:val="24"/>
        </w:rPr>
        <w:t xml:space="preserve"> </w:t>
      </w:r>
      <w:r w:rsidR="0002014B">
        <w:rPr>
          <w:rFonts w:cstheme="minorHAnsi"/>
          <w:sz w:val="24"/>
        </w:rPr>
        <w:t>ikke forelagt konkrete beskyldninger.</w:t>
      </w:r>
    </w:p>
    <w:p w14:paraId="125145E5" w14:textId="0E1FA43C" w:rsidR="0030055C" w:rsidRDefault="0030055C" w:rsidP="0030055C">
      <w:pPr>
        <w:pStyle w:val="Listeavsnitt"/>
        <w:rPr>
          <w:rFonts w:cstheme="minorHAnsi"/>
          <w:sz w:val="24"/>
        </w:rPr>
      </w:pPr>
      <w:r>
        <w:rPr>
          <w:rFonts w:cstheme="minorHAnsi"/>
          <w:sz w:val="24"/>
        </w:rPr>
        <w:t xml:space="preserve">                             Delvis erkjennelse fra </w:t>
      </w:r>
      <w:proofErr w:type="spellStart"/>
      <w:r>
        <w:rPr>
          <w:rFonts w:cstheme="minorHAnsi"/>
          <w:sz w:val="24"/>
        </w:rPr>
        <w:t>OAs</w:t>
      </w:r>
      <w:proofErr w:type="spellEnd"/>
      <w:r>
        <w:rPr>
          <w:rFonts w:cstheme="minorHAnsi"/>
          <w:sz w:val="24"/>
        </w:rPr>
        <w:t xml:space="preserve"> side vedr dette.</w:t>
      </w:r>
    </w:p>
    <w:p w14:paraId="77EB4E74" w14:textId="7AB09C7D" w:rsidR="0030055C" w:rsidRDefault="007A1E2F" w:rsidP="0030055C">
      <w:pPr>
        <w:pStyle w:val="Listeavsnitt"/>
        <w:numPr>
          <w:ilvl w:val="0"/>
          <w:numId w:val="1"/>
        </w:numPr>
        <w:rPr>
          <w:rFonts w:cstheme="minorHAnsi"/>
          <w:sz w:val="24"/>
        </w:rPr>
      </w:pPr>
      <w:hyperlink r:id="rId37" w:history="1">
        <w:r w:rsidR="00C525FA" w:rsidRPr="002A5C2F">
          <w:rPr>
            <w:rStyle w:val="Hyperkobling"/>
            <w:rFonts w:cstheme="minorHAnsi"/>
            <w:sz w:val="24"/>
          </w:rPr>
          <w:t>Sak 2020-147</w:t>
        </w:r>
      </w:hyperlink>
      <w:r w:rsidR="00C525FA">
        <w:rPr>
          <w:rFonts w:cstheme="minorHAnsi"/>
          <w:sz w:val="24"/>
        </w:rPr>
        <w:t xml:space="preserve"> – </w:t>
      </w:r>
      <w:proofErr w:type="spellStart"/>
      <w:r w:rsidR="00C525FA">
        <w:rPr>
          <w:rFonts w:cstheme="minorHAnsi"/>
          <w:sz w:val="24"/>
        </w:rPr>
        <w:t>Varingen</w:t>
      </w:r>
      <w:proofErr w:type="spellEnd"/>
      <w:r w:rsidR="00C525FA">
        <w:rPr>
          <w:rFonts w:cstheme="minorHAnsi"/>
          <w:sz w:val="24"/>
        </w:rPr>
        <w:t xml:space="preserve"> </w:t>
      </w:r>
      <w:r w:rsidR="005C349D">
        <w:rPr>
          <w:rFonts w:cstheme="minorHAnsi"/>
          <w:sz w:val="24"/>
        </w:rPr>
        <w:t>–</w:t>
      </w:r>
      <w:r w:rsidR="00C525FA">
        <w:rPr>
          <w:rFonts w:cstheme="minorHAnsi"/>
          <w:sz w:val="24"/>
        </w:rPr>
        <w:t xml:space="preserve"> </w:t>
      </w:r>
      <w:r w:rsidR="005C349D">
        <w:rPr>
          <w:rFonts w:cstheme="minorHAnsi"/>
          <w:sz w:val="24"/>
        </w:rPr>
        <w:t>ikke gitt anledning</w:t>
      </w:r>
      <w:r w:rsidR="00CD632E">
        <w:rPr>
          <w:rFonts w:cstheme="minorHAnsi"/>
          <w:sz w:val="24"/>
        </w:rPr>
        <w:t xml:space="preserve"> til imøtegåelse.</w:t>
      </w:r>
    </w:p>
    <w:p w14:paraId="458ED770" w14:textId="305749FA" w:rsidR="002A5C2F" w:rsidRDefault="007A1E2F" w:rsidP="0030055C">
      <w:pPr>
        <w:pStyle w:val="Listeavsnitt"/>
        <w:numPr>
          <w:ilvl w:val="0"/>
          <w:numId w:val="1"/>
        </w:numPr>
        <w:rPr>
          <w:rFonts w:cstheme="minorHAnsi"/>
          <w:sz w:val="24"/>
        </w:rPr>
      </w:pPr>
      <w:hyperlink r:id="rId38" w:history="1">
        <w:r w:rsidR="00B41EA7" w:rsidRPr="00F650D2">
          <w:rPr>
            <w:rStyle w:val="Hyperkobling"/>
            <w:rFonts w:cstheme="minorHAnsi"/>
            <w:sz w:val="24"/>
          </w:rPr>
          <w:t>Sak 2020-137</w:t>
        </w:r>
      </w:hyperlink>
      <w:r w:rsidR="00B41EA7">
        <w:rPr>
          <w:rFonts w:cstheme="minorHAnsi"/>
          <w:sz w:val="24"/>
        </w:rPr>
        <w:t xml:space="preserve"> </w:t>
      </w:r>
      <w:r w:rsidR="0006202C">
        <w:rPr>
          <w:rFonts w:cstheme="minorHAnsi"/>
          <w:sz w:val="24"/>
        </w:rPr>
        <w:t>–</w:t>
      </w:r>
      <w:r w:rsidR="00B41EA7">
        <w:rPr>
          <w:rFonts w:cstheme="minorHAnsi"/>
          <w:sz w:val="24"/>
        </w:rPr>
        <w:t xml:space="preserve"> </w:t>
      </w:r>
      <w:r w:rsidR="009D7505">
        <w:rPr>
          <w:rFonts w:cstheme="minorHAnsi"/>
          <w:sz w:val="24"/>
        </w:rPr>
        <w:t>T</w:t>
      </w:r>
      <w:r w:rsidR="00B41EA7">
        <w:rPr>
          <w:rFonts w:cstheme="minorHAnsi"/>
          <w:sz w:val="24"/>
        </w:rPr>
        <w:t>rav</w:t>
      </w:r>
      <w:r w:rsidR="0006202C">
        <w:rPr>
          <w:rFonts w:cstheme="minorHAnsi"/>
          <w:sz w:val="24"/>
        </w:rPr>
        <w:t xml:space="preserve">365.no </w:t>
      </w:r>
      <w:r w:rsidR="00E33A88">
        <w:rPr>
          <w:rFonts w:cstheme="minorHAnsi"/>
          <w:sz w:val="24"/>
        </w:rPr>
        <w:t>–</w:t>
      </w:r>
      <w:r w:rsidR="0006202C">
        <w:rPr>
          <w:rFonts w:cstheme="minorHAnsi"/>
          <w:sz w:val="24"/>
        </w:rPr>
        <w:t xml:space="preserve"> </w:t>
      </w:r>
      <w:r w:rsidR="00E33A88">
        <w:rPr>
          <w:rFonts w:cstheme="minorHAnsi"/>
          <w:sz w:val="24"/>
        </w:rPr>
        <w:t>ikke tilstrekkelig å lenke til tidligere imøtegåelse.</w:t>
      </w:r>
    </w:p>
    <w:p w14:paraId="7B136403" w14:textId="7CE7771E" w:rsidR="00F650D2" w:rsidRDefault="007A1E2F" w:rsidP="0030055C">
      <w:pPr>
        <w:pStyle w:val="Listeavsnitt"/>
        <w:numPr>
          <w:ilvl w:val="0"/>
          <w:numId w:val="1"/>
        </w:numPr>
        <w:rPr>
          <w:rFonts w:cstheme="minorHAnsi"/>
          <w:sz w:val="24"/>
        </w:rPr>
      </w:pPr>
      <w:hyperlink r:id="rId39" w:history="1">
        <w:r w:rsidR="001F6C18" w:rsidRPr="00FC178F">
          <w:rPr>
            <w:rStyle w:val="Hyperkobling"/>
            <w:rFonts w:cstheme="minorHAnsi"/>
            <w:sz w:val="24"/>
          </w:rPr>
          <w:t>Sak 2020-116</w:t>
        </w:r>
      </w:hyperlink>
      <w:r w:rsidR="001F6C18">
        <w:rPr>
          <w:rFonts w:cstheme="minorHAnsi"/>
          <w:sz w:val="24"/>
        </w:rPr>
        <w:t xml:space="preserve"> – Telemarksavisa – </w:t>
      </w:r>
      <w:r w:rsidR="00DA1C8B">
        <w:rPr>
          <w:rFonts w:cstheme="minorHAnsi"/>
          <w:sz w:val="24"/>
        </w:rPr>
        <w:t>ikke anledning til samtidig imøtegåelse.</w:t>
      </w:r>
    </w:p>
    <w:p w14:paraId="043CF327" w14:textId="265C6AFB" w:rsidR="00094C9E" w:rsidRPr="00F93E03" w:rsidRDefault="007A1E2F" w:rsidP="00D86AB4">
      <w:pPr>
        <w:pStyle w:val="Listeavsnitt"/>
        <w:numPr>
          <w:ilvl w:val="0"/>
          <w:numId w:val="1"/>
        </w:numPr>
        <w:rPr>
          <w:rFonts w:cstheme="minorHAnsi"/>
          <w:sz w:val="24"/>
        </w:rPr>
      </w:pPr>
      <w:hyperlink r:id="rId40" w:history="1">
        <w:r w:rsidR="00094C9E" w:rsidRPr="00F93E03">
          <w:rPr>
            <w:rStyle w:val="Hyperkobling"/>
            <w:rFonts w:cstheme="minorHAnsi"/>
            <w:sz w:val="24"/>
          </w:rPr>
          <w:t>Sak 2020-111</w:t>
        </w:r>
      </w:hyperlink>
      <w:r w:rsidR="00F93E03" w:rsidRPr="00F93E03">
        <w:rPr>
          <w:rFonts w:cstheme="minorHAnsi"/>
          <w:sz w:val="24"/>
        </w:rPr>
        <w:t xml:space="preserve"> – </w:t>
      </w:r>
      <w:r w:rsidR="00701406" w:rsidRPr="00F93E03">
        <w:rPr>
          <w:rFonts w:cstheme="minorHAnsi"/>
          <w:sz w:val="24"/>
        </w:rPr>
        <w:t xml:space="preserve">Helgelands Blad </w:t>
      </w:r>
      <w:r w:rsidR="00A5525E" w:rsidRPr="00F93E03">
        <w:rPr>
          <w:rFonts w:cstheme="minorHAnsi"/>
          <w:sz w:val="24"/>
        </w:rPr>
        <w:t>–</w:t>
      </w:r>
      <w:r w:rsidR="00701406" w:rsidRPr="00F93E03">
        <w:rPr>
          <w:rFonts w:cstheme="minorHAnsi"/>
          <w:sz w:val="24"/>
        </w:rPr>
        <w:t xml:space="preserve"> </w:t>
      </w:r>
      <w:r w:rsidR="00685BB1">
        <w:rPr>
          <w:rFonts w:cstheme="minorHAnsi"/>
          <w:sz w:val="24"/>
        </w:rPr>
        <w:t>ikke erkjent rett til samtidig imøtegåelse.</w:t>
      </w:r>
    </w:p>
    <w:p w14:paraId="18A65499" w14:textId="7C0C0D0B" w:rsidR="001F6C18" w:rsidRDefault="007A1E2F" w:rsidP="0030055C">
      <w:pPr>
        <w:pStyle w:val="Listeavsnitt"/>
        <w:numPr>
          <w:ilvl w:val="0"/>
          <w:numId w:val="1"/>
        </w:numPr>
        <w:rPr>
          <w:rFonts w:cstheme="minorHAnsi"/>
          <w:sz w:val="24"/>
        </w:rPr>
      </w:pPr>
      <w:hyperlink r:id="rId41" w:history="1">
        <w:r w:rsidR="001B7CB4" w:rsidRPr="00017B98">
          <w:rPr>
            <w:rStyle w:val="Hyperkobling"/>
            <w:rFonts w:cstheme="minorHAnsi"/>
            <w:sz w:val="24"/>
          </w:rPr>
          <w:t>Sak 2020-099</w:t>
        </w:r>
      </w:hyperlink>
      <w:r w:rsidR="001B7CB4">
        <w:rPr>
          <w:rFonts w:cstheme="minorHAnsi"/>
          <w:sz w:val="24"/>
        </w:rPr>
        <w:t xml:space="preserve"> – TV 2 </w:t>
      </w:r>
      <w:r w:rsidR="006534B9">
        <w:rPr>
          <w:rFonts w:cstheme="minorHAnsi"/>
          <w:sz w:val="24"/>
        </w:rPr>
        <w:t>–</w:t>
      </w:r>
      <w:r w:rsidR="001B7CB4">
        <w:rPr>
          <w:rFonts w:cstheme="minorHAnsi"/>
          <w:sz w:val="24"/>
        </w:rPr>
        <w:t xml:space="preserve"> </w:t>
      </w:r>
      <w:r w:rsidR="006534B9">
        <w:rPr>
          <w:rFonts w:cstheme="minorHAnsi"/>
          <w:sz w:val="24"/>
        </w:rPr>
        <w:t xml:space="preserve">ufullstendig gjengivelse av imøtegåelse – </w:t>
      </w:r>
      <w:proofErr w:type="spellStart"/>
      <w:r w:rsidR="006534B9">
        <w:rPr>
          <w:rFonts w:cstheme="minorHAnsi"/>
          <w:sz w:val="24"/>
        </w:rPr>
        <w:t>jfr</w:t>
      </w:r>
      <w:proofErr w:type="spellEnd"/>
      <w:r w:rsidR="006534B9">
        <w:rPr>
          <w:rFonts w:cstheme="minorHAnsi"/>
          <w:sz w:val="24"/>
        </w:rPr>
        <w:t xml:space="preserve"> </w:t>
      </w:r>
      <w:r w:rsidR="007E69D8">
        <w:rPr>
          <w:rFonts w:cstheme="minorHAnsi"/>
          <w:sz w:val="24"/>
        </w:rPr>
        <w:t>sak 2018-053.</w:t>
      </w:r>
    </w:p>
    <w:p w14:paraId="17FAB1CB" w14:textId="63477B65" w:rsidR="00017B98" w:rsidRDefault="007A1E2F" w:rsidP="0030055C">
      <w:pPr>
        <w:pStyle w:val="Listeavsnitt"/>
        <w:numPr>
          <w:ilvl w:val="0"/>
          <w:numId w:val="1"/>
        </w:numPr>
        <w:rPr>
          <w:rFonts w:cstheme="minorHAnsi"/>
          <w:sz w:val="24"/>
        </w:rPr>
      </w:pPr>
      <w:hyperlink r:id="rId42" w:history="1">
        <w:r w:rsidR="00846305" w:rsidRPr="004F57E4">
          <w:rPr>
            <w:rStyle w:val="Hyperkobling"/>
            <w:rFonts w:cstheme="minorHAnsi"/>
            <w:sz w:val="24"/>
          </w:rPr>
          <w:t xml:space="preserve">Sak </w:t>
        </w:r>
        <w:r w:rsidR="00E67A3C" w:rsidRPr="004F57E4">
          <w:rPr>
            <w:rStyle w:val="Hyperkobling"/>
            <w:rFonts w:cstheme="minorHAnsi"/>
            <w:sz w:val="24"/>
          </w:rPr>
          <w:t>2020-092</w:t>
        </w:r>
      </w:hyperlink>
      <w:r w:rsidR="00E67A3C">
        <w:rPr>
          <w:rFonts w:cstheme="minorHAnsi"/>
          <w:sz w:val="24"/>
        </w:rPr>
        <w:t xml:space="preserve"> – Finansavisen </w:t>
      </w:r>
      <w:r w:rsidR="00E33D14">
        <w:rPr>
          <w:rFonts w:cstheme="minorHAnsi"/>
          <w:sz w:val="24"/>
        </w:rPr>
        <w:t>–</w:t>
      </w:r>
      <w:r w:rsidR="00E67A3C">
        <w:rPr>
          <w:rFonts w:cstheme="minorHAnsi"/>
          <w:sz w:val="24"/>
        </w:rPr>
        <w:t xml:space="preserve"> </w:t>
      </w:r>
      <w:r w:rsidR="00E33D14">
        <w:rPr>
          <w:rFonts w:cstheme="minorHAnsi"/>
          <w:sz w:val="24"/>
        </w:rPr>
        <w:t xml:space="preserve">beskyldning mot tredjepart i retten </w:t>
      </w:r>
      <w:r w:rsidR="00EE7888">
        <w:rPr>
          <w:rFonts w:cstheme="minorHAnsi"/>
          <w:sz w:val="24"/>
        </w:rPr>
        <w:t>(i grenseland!)</w:t>
      </w:r>
    </w:p>
    <w:p w14:paraId="7E94A83D" w14:textId="0EB7DC01" w:rsidR="00E67A3C" w:rsidRDefault="007A1E2F" w:rsidP="0030055C">
      <w:pPr>
        <w:pStyle w:val="Listeavsnitt"/>
        <w:numPr>
          <w:ilvl w:val="0"/>
          <w:numId w:val="1"/>
        </w:numPr>
        <w:rPr>
          <w:rFonts w:cstheme="minorHAnsi"/>
          <w:sz w:val="24"/>
        </w:rPr>
      </w:pPr>
      <w:hyperlink r:id="rId43" w:history="1">
        <w:r w:rsidR="00DE346B" w:rsidRPr="00B01A50">
          <w:rPr>
            <w:rStyle w:val="Hyperkobling"/>
            <w:rFonts w:cstheme="minorHAnsi"/>
            <w:sz w:val="24"/>
          </w:rPr>
          <w:t>Sak 2020-076</w:t>
        </w:r>
      </w:hyperlink>
      <w:r w:rsidR="00DE346B">
        <w:rPr>
          <w:rFonts w:cstheme="minorHAnsi"/>
          <w:sz w:val="24"/>
        </w:rPr>
        <w:t xml:space="preserve"> </w:t>
      </w:r>
      <w:r w:rsidR="003C2EB8">
        <w:rPr>
          <w:rFonts w:cstheme="minorHAnsi"/>
          <w:sz w:val="24"/>
        </w:rPr>
        <w:t>–</w:t>
      </w:r>
      <w:r w:rsidR="00DE346B">
        <w:rPr>
          <w:rFonts w:cstheme="minorHAnsi"/>
          <w:sz w:val="24"/>
        </w:rPr>
        <w:t xml:space="preserve"> </w:t>
      </w:r>
      <w:r w:rsidR="003C2EB8">
        <w:rPr>
          <w:rFonts w:cstheme="minorHAnsi"/>
          <w:sz w:val="24"/>
        </w:rPr>
        <w:t>Sandefjords Blad</w:t>
      </w:r>
      <w:r w:rsidR="00906144">
        <w:rPr>
          <w:rFonts w:cstheme="minorHAnsi"/>
          <w:sz w:val="24"/>
        </w:rPr>
        <w:t xml:space="preserve"> </w:t>
      </w:r>
      <w:r w:rsidR="0069631C">
        <w:rPr>
          <w:rFonts w:cstheme="minorHAnsi"/>
          <w:sz w:val="24"/>
        </w:rPr>
        <w:t>–</w:t>
      </w:r>
      <w:r w:rsidR="00906144">
        <w:rPr>
          <w:rFonts w:cstheme="minorHAnsi"/>
          <w:sz w:val="24"/>
        </w:rPr>
        <w:t xml:space="preserve"> </w:t>
      </w:r>
      <w:r w:rsidR="0069631C">
        <w:rPr>
          <w:rFonts w:cstheme="minorHAnsi"/>
          <w:sz w:val="24"/>
        </w:rPr>
        <w:t>ikke forelagt konkret beskyldning.</w:t>
      </w:r>
    </w:p>
    <w:p w14:paraId="0689DBA2" w14:textId="696E388A" w:rsidR="00F22739" w:rsidRDefault="007A1E2F" w:rsidP="0030055C">
      <w:pPr>
        <w:pStyle w:val="Listeavsnitt"/>
        <w:numPr>
          <w:ilvl w:val="0"/>
          <w:numId w:val="1"/>
        </w:numPr>
        <w:rPr>
          <w:rFonts w:cstheme="minorHAnsi"/>
          <w:sz w:val="24"/>
        </w:rPr>
      </w:pPr>
      <w:hyperlink r:id="rId44" w:history="1">
        <w:r w:rsidR="009E6CF5" w:rsidRPr="00341A01">
          <w:rPr>
            <w:rStyle w:val="Hyperkobling"/>
            <w:rFonts w:cstheme="minorHAnsi"/>
            <w:sz w:val="24"/>
          </w:rPr>
          <w:t>Sak 2020-074</w:t>
        </w:r>
      </w:hyperlink>
      <w:r w:rsidR="009E6CF5">
        <w:rPr>
          <w:rFonts w:cstheme="minorHAnsi"/>
          <w:sz w:val="24"/>
        </w:rPr>
        <w:t xml:space="preserve"> – Haugesunds Avis – </w:t>
      </w:r>
      <w:r w:rsidR="00FB01B3">
        <w:rPr>
          <w:rFonts w:cstheme="minorHAnsi"/>
          <w:sz w:val="24"/>
        </w:rPr>
        <w:t xml:space="preserve">ringte klager på seks ulike telefonnumre – det var ikke    </w:t>
      </w:r>
    </w:p>
    <w:p w14:paraId="4509C679" w14:textId="0826D911" w:rsidR="00B01A50" w:rsidRDefault="00F22739" w:rsidP="00F22739">
      <w:pPr>
        <w:pStyle w:val="Listeavsnitt"/>
        <w:rPr>
          <w:rFonts w:cstheme="minorHAnsi"/>
          <w:sz w:val="24"/>
        </w:rPr>
      </w:pPr>
      <w:r>
        <w:rPr>
          <w:rFonts w:cstheme="minorHAnsi"/>
          <w:sz w:val="24"/>
        </w:rPr>
        <w:t xml:space="preserve">                       </w:t>
      </w:r>
      <w:r w:rsidR="00FB01B3">
        <w:rPr>
          <w:rFonts w:cstheme="minorHAnsi"/>
          <w:sz w:val="24"/>
        </w:rPr>
        <w:t xml:space="preserve">     </w:t>
      </w:r>
      <w:r>
        <w:rPr>
          <w:rFonts w:cstheme="minorHAnsi"/>
          <w:sz w:val="24"/>
        </w:rPr>
        <w:t>t</w:t>
      </w:r>
      <w:r w:rsidR="00FB01B3">
        <w:rPr>
          <w:rFonts w:cstheme="minorHAnsi"/>
          <w:sz w:val="24"/>
        </w:rPr>
        <w:t>il</w:t>
      </w:r>
      <w:r>
        <w:rPr>
          <w:rFonts w:cstheme="minorHAnsi"/>
          <w:sz w:val="24"/>
        </w:rPr>
        <w:t>strekkelig</w:t>
      </w:r>
      <w:r w:rsidR="00341A01">
        <w:rPr>
          <w:rFonts w:cstheme="minorHAnsi"/>
          <w:sz w:val="24"/>
        </w:rPr>
        <w:t xml:space="preserve">, mente PFU.  Streng uttalelse </w:t>
      </w:r>
      <w:r w:rsidR="009D7505">
        <w:rPr>
          <w:rFonts w:cstheme="minorHAnsi"/>
          <w:sz w:val="24"/>
        </w:rPr>
        <w:t>når det</w:t>
      </w:r>
      <w:r w:rsidR="00341A01">
        <w:rPr>
          <w:rFonts w:cstheme="minorHAnsi"/>
          <w:sz w:val="24"/>
        </w:rPr>
        <w:t xml:space="preserve"> gjelder anstrengelser.</w:t>
      </w:r>
    </w:p>
    <w:p w14:paraId="509D922B" w14:textId="55621F4A" w:rsidR="009E6CF5" w:rsidRDefault="007A1E2F" w:rsidP="0030055C">
      <w:pPr>
        <w:pStyle w:val="Listeavsnitt"/>
        <w:numPr>
          <w:ilvl w:val="0"/>
          <w:numId w:val="1"/>
        </w:numPr>
        <w:rPr>
          <w:rFonts w:cstheme="minorHAnsi"/>
          <w:sz w:val="24"/>
        </w:rPr>
      </w:pPr>
      <w:hyperlink r:id="rId45" w:history="1">
        <w:r w:rsidR="00A96271" w:rsidRPr="005A00F8">
          <w:rPr>
            <w:rStyle w:val="Hyperkobling"/>
            <w:rFonts w:cstheme="minorHAnsi"/>
            <w:sz w:val="24"/>
          </w:rPr>
          <w:t>Sak 2020-070</w:t>
        </w:r>
      </w:hyperlink>
      <w:r w:rsidR="00A96271">
        <w:rPr>
          <w:rFonts w:cstheme="minorHAnsi"/>
          <w:sz w:val="24"/>
        </w:rPr>
        <w:t xml:space="preserve"> </w:t>
      </w:r>
      <w:r w:rsidR="006D2864">
        <w:rPr>
          <w:rFonts w:cstheme="minorHAnsi"/>
          <w:sz w:val="24"/>
        </w:rPr>
        <w:t>–</w:t>
      </w:r>
      <w:r w:rsidR="00A96271">
        <w:rPr>
          <w:rFonts w:cstheme="minorHAnsi"/>
          <w:sz w:val="24"/>
        </w:rPr>
        <w:t xml:space="preserve"> </w:t>
      </w:r>
      <w:r w:rsidR="009D7505">
        <w:rPr>
          <w:rFonts w:cstheme="minorHAnsi"/>
          <w:sz w:val="24"/>
        </w:rPr>
        <w:t>T</w:t>
      </w:r>
      <w:r w:rsidR="006D2864">
        <w:rPr>
          <w:rFonts w:cstheme="minorHAnsi"/>
          <w:sz w:val="24"/>
        </w:rPr>
        <w:t xml:space="preserve">rav365.no – </w:t>
      </w:r>
      <w:r w:rsidR="005A00F8">
        <w:rPr>
          <w:rFonts w:cstheme="minorHAnsi"/>
          <w:sz w:val="24"/>
        </w:rPr>
        <w:t>ikke gitt anledning til imøtegåelse.</w:t>
      </w:r>
    </w:p>
    <w:p w14:paraId="126B886F" w14:textId="4BAA8AF2" w:rsidR="006D2864" w:rsidRDefault="007A1E2F" w:rsidP="0030055C">
      <w:pPr>
        <w:pStyle w:val="Listeavsnitt"/>
        <w:numPr>
          <w:ilvl w:val="0"/>
          <w:numId w:val="1"/>
        </w:numPr>
        <w:rPr>
          <w:rFonts w:cstheme="minorHAnsi"/>
          <w:sz w:val="24"/>
        </w:rPr>
      </w:pPr>
      <w:hyperlink r:id="rId46" w:history="1">
        <w:r w:rsidR="009952D2" w:rsidRPr="005276FF">
          <w:rPr>
            <w:rStyle w:val="Hyperkobling"/>
            <w:rFonts w:cstheme="minorHAnsi"/>
            <w:sz w:val="24"/>
          </w:rPr>
          <w:t>Sak 2020-047</w:t>
        </w:r>
      </w:hyperlink>
      <w:r w:rsidR="009952D2">
        <w:rPr>
          <w:rFonts w:cstheme="minorHAnsi"/>
          <w:sz w:val="24"/>
        </w:rPr>
        <w:t xml:space="preserve"> – Aust-Agder Blad – </w:t>
      </w:r>
      <w:r w:rsidR="00733CFE">
        <w:rPr>
          <w:rFonts w:cstheme="minorHAnsi"/>
          <w:sz w:val="24"/>
        </w:rPr>
        <w:t>ikke nok å anonymisere for «en videre krets».</w:t>
      </w:r>
    </w:p>
    <w:p w14:paraId="768A110B" w14:textId="2F8DB6B1" w:rsidR="009952D2" w:rsidRDefault="007A1E2F" w:rsidP="0030055C">
      <w:pPr>
        <w:pStyle w:val="Listeavsnitt"/>
        <w:numPr>
          <w:ilvl w:val="0"/>
          <w:numId w:val="1"/>
        </w:numPr>
        <w:rPr>
          <w:rFonts w:cstheme="minorHAnsi"/>
          <w:sz w:val="24"/>
        </w:rPr>
      </w:pPr>
      <w:hyperlink r:id="rId47" w:history="1">
        <w:r w:rsidR="00967419" w:rsidRPr="005E6E6A">
          <w:rPr>
            <w:rStyle w:val="Hyperkobling"/>
            <w:rFonts w:cstheme="minorHAnsi"/>
            <w:sz w:val="24"/>
          </w:rPr>
          <w:t>Sak 2020-045</w:t>
        </w:r>
      </w:hyperlink>
      <w:r w:rsidR="00967419">
        <w:rPr>
          <w:rFonts w:cstheme="minorHAnsi"/>
          <w:sz w:val="24"/>
        </w:rPr>
        <w:t xml:space="preserve"> </w:t>
      </w:r>
      <w:r w:rsidR="00547E88">
        <w:rPr>
          <w:rFonts w:cstheme="minorHAnsi"/>
          <w:sz w:val="24"/>
        </w:rPr>
        <w:t>–</w:t>
      </w:r>
      <w:r w:rsidR="00967419">
        <w:rPr>
          <w:rFonts w:cstheme="minorHAnsi"/>
          <w:sz w:val="24"/>
        </w:rPr>
        <w:t xml:space="preserve"> </w:t>
      </w:r>
      <w:r w:rsidR="00547E88">
        <w:rPr>
          <w:rFonts w:cstheme="minorHAnsi"/>
          <w:sz w:val="24"/>
        </w:rPr>
        <w:t xml:space="preserve">Rana Blad </w:t>
      </w:r>
      <w:r w:rsidR="00EE1D5C">
        <w:rPr>
          <w:rFonts w:cstheme="minorHAnsi"/>
          <w:sz w:val="24"/>
        </w:rPr>
        <w:t>–</w:t>
      </w:r>
      <w:r w:rsidR="00547E88">
        <w:rPr>
          <w:rFonts w:cstheme="minorHAnsi"/>
          <w:sz w:val="24"/>
        </w:rPr>
        <w:t xml:space="preserve"> </w:t>
      </w:r>
      <w:r w:rsidR="00EE1D5C">
        <w:rPr>
          <w:rFonts w:cstheme="minorHAnsi"/>
          <w:sz w:val="24"/>
        </w:rPr>
        <w:t xml:space="preserve">mente </w:t>
      </w:r>
      <w:r w:rsidR="005E6E6A">
        <w:rPr>
          <w:rFonts w:cstheme="minorHAnsi"/>
          <w:sz w:val="24"/>
        </w:rPr>
        <w:t>samtidig imøtegåelse ikke var utløst.</w:t>
      </w:r>
    </w:p>
    <w:p w14:paraId="0E242522" w14:textId="34D5879F" w:rsidR="005E6E6A" w:rsidRDefault="007A1E2F" w:rsidP="0030055C">
      <w:pPr>
        <w:pStyle w:val="Listeavsnitt"/>
        <w:numPr>
          <w:ilvl w:val="0"/>
          <w:numId w:val="1"/>
        </w:numPr>
        <w:rPr>
          <w:rFonts w:cstheme="minorHAnsi"/>
          <w:sz w:val="24"/>
        </w:rPr>
      </w:pPr>
      <w:hyperlink r:id="rId48" w:history="1">
        <w:r w:rsidR="005E6E6A" w:rsidRPr="00FA5E41">
          <w:rPr>
            <w:rStyle w:val="Hyperkobling"/>
            <w:rFonts w:cstheme="minorHAnsi"/>
            <w:sz w:val="24"/>
          </w:rPr>
          <w:t xml:space="preserve">Sak </w:t>
        </w:r>
        <w:r w:rsidR="00454A24" w:rsidRPr="00FA5E41">
          <w:rPr>
            <w:rStyle w:val="Hyperkobling"/>
            <w:rFonts w:cstheme="minorHAnsi"/>
            <w:sz w:val="24"/>
          </w:rPr>
          <w:t>2020-</w:t>
        </w:r>
        <w:r w:rsidR="00DC0E0B" w:rsidRPr="00FA5E41">
          <w:rPr>
            <w:rStyle w:val="Hyperkobling"/>
            <w:rFonts w:cstheme="minorHAnsi"/>
            <w:sz w:val="24"/>
          </w:rPr>
          <w:t>035</w:t>
        </w:r>
      </w:hyperlink>
      <w:r w:rsidR="00DC0E0B">
        <w:rPr>
          <w:rFonts w:cstheme="minorHAnsi"/>
          <w:sz w:val="24"/>
        </w:rPr>
        <w:t xml:space="preserve"> – Finansavisen – </w:t>
      </w:r>
      <w:r w:rsidR="00D81ED9">
        <w:rPr>
          <w:rFonts w:cstheme="minorHAnsi"/>
          <w:sz w:val="24"/>
        </w:rPr>
        <w:t xml:space="preserve">mente det ikke var </w:t>
      </w:r>
      <w:r w:rsidR="002D46A9">
        <w:rPr>
          <w:rFonts w:cstheme="minorHAnsi"/>
          <w:sz w:val="24"/>
        </w:rPr>
        <w:t>«sterke beskyldninger» (dissens i PFU).</w:t>
      </w:r>
    </w:p>
    <w:p w14:paraId="2C0DE023" w14:textId="0D5D0EF4" w:rsidR="00DC0E0B" w:rsidRDefault="007A1E2F" w:rsidP="0030055C">
      <w:pPr>
        <w:pStyle w:val="Listeavsnitt"/>
        <w:numPr>
          <w:ilvl w:val="0"/>
          <w:numId w:val="1"/>
        </w:numPr>
        <w:rPr>
          <w:rFonts w:cstheme="minorHAnsi"/>
          <w:sz w:val="24"/>
        </w:rPr>
      </w:pPr>
      <w:hyperlink r:id="rId49" w:history="1">
        <w:r w:rsidR="00FA5E41" w:rsidRPr="005261CB">
          <w:rPr>
            <w:rStyle w:val="Hyperkobling"/>
            <w:rFonts w:cstheme="minorHAnsi"/>
            <w:sz w:val="24"/>
          </w:rPr>
          <w:t xml:space="preserve">Sak </w:t>
        </w:r>
        <w:r w:rsidR="00F47964" w:rsidRPr="005261CB">
          <w:rPr>
            <w:rStyle w:val="Hyperkobling"/>
            <w:rFonts w:cstheme="minorHAnsi"/>
            <w:sz w:val="24"/>
          </w:rPr>
          <w:t>2020-032</w:t>
        </w:r>
      </w:hyperlink>
      <w:r w:rsidR="00F47964">
        <w:rPr>
          <w:rFonts w:cstheme="minorHAnsi"/>
          <w:sz w:val="24"/>
        </w:rPr>
        <w:t xml:space="preserve"> – NRK – </w:t>
      </w:r>
      <w:r w:rsidR="00DE1063">
        <w:rPr>
          <w:rFonts w:cstheme="minorHAnsi"/>
          <w:sz w:val="24"/>
        </w:rPr>
        <w:t>erkjente brudd på 4.14 – imøtegåelse ikke innhentet.</w:t>
      </w:r>
    </w:p>
    <w:p w14:paraId="783CFC87" w14:textId="3F55E305" w:rsidR="00F47964" w:rsidRDefault="007A1E2F" w:rsidP="0030055C">
      <w:pPr>
        <w:pStyle w:val="Listeavsnitt"/>
        <w:numPr>
          <w:ilvl w:val="0"/>
          <w:numId w:val="1"/>
        </w:numPr>
        <w:rPr>
          <w:rFonts w:cstheme="minorHAnsi"/>
          <w:sz w:val="24"/>
        </w:rPr>
      </w:pPr>
      <w:hyperlink r:id="rId50" w:history="1">
        <w:r w:rsidR="004A09A2" w:rsidRPr="009617C3">
          <w:rPr>
            <w:rStyle w:val="Hyperkobling"/>
            <w:rFonts w:cstheme="minorHAnsi"/>
            <w:sz w:val="24"/>
          </w:rPr>
          <w:t>Sak 2020-018</w:t>
        </w:r>
      </w:hyperlink>
      <w:r w:rsidR="004A09A2">
        <w:rPr>
          <w:rFonts w:cstheme="minorHAnsi"/>
          <w:sz w:val="24"/>
        </w:rPr>
        <w:t xml:space="preserve"> </w:t>
      </w:r>
      <w:r w:rsidR="00137D04">
        <w:rPr>
          <w:rFonts w:cstheme="minorHAnsi"/>
          <w:sz w:val="24"/>
        </w:rPr>
        <w:t>–</w:t>
      </w:r>
      <w:r w:rsidR="004A09A2">
        <w:rPr>
          <w:rFonts w:cstheme="minorHAnsi"/>
          <w:sz w:val="24"/>
        </w:rPr>
        <w:t xml:space="preserve"> </w:t>
      </w:r>
      <w:r w:rsidR="00137D04">
        <w:rPr>
          <w:rFonts w:cstheme="minorHAnsi"/>
          <w:sz w:val="24"/>
        </w:rPr>
        <w:t xml:space="preserve">Marsteinen – </w:t>
      </w:r>
      <w:r w:rsidR="00CF2C2E">
        <w:rPr>
          <w:rFonts w:cstheme="minorHAnsi"/>
          <w:sz w:val="24"/>
        </w:rPr>
        <w:t xml:space="preserve">feil adressat </w:t>
      </w:r>
      <w:r w:rsidR="009617C3">
        <w:rPr>
          <w:rFonts w:cstheme="minorHAnsi"/>
          <w:sz w:val="24"/>
        </w:rPr>
        <w:t xml:space="preserve">og </w:t>
      </w:r>
      <w:proofErr w:type="spellStart"/>
      <w:r w:rsidR="009617C3">
        <w:rPr>
          <w:rFonts w:cstheme="minorHAnsi"/>
          <w:sz w:val="24"/>
        </w:rPr>
        <w:t>spm</w:t>
      </w:r>
      <w:proofErr w:type="spellEnd"/>
      <w:r w:rsidR="009617C3">
        <w:rPr>
          <w:rFonts w:cstheme="minorHAnsi"/>
          <w:sz w:val="24"/>
        </w:rPr>
        <w:t xml:space="preserve"> om «påstander» eller «fakta»</w:t>
      </w:r>
      <w:r w:rsidR="009D7505">
        <w:rPr>
          <w:rFonts w:cstheme="minorHAnsi"/>
          <w:sz w:val="24"/>
        </w:rPr>
        <w:t>.</w:t>
      </w:r>
    </w:p>
    <w:p w14:paraId="6D7B7351" w14:textId="14936FE5" w:rsidR="00357BEC" w:rsidRDefault="007A1E2F" w:rsidP="0030055C">
      <w:pPr>
        <w:pStyle w:val="Listeavsnitt"/>
        <w:numPr>
          <w:ilvl w:val="0"/>
          <w:numId w:val="1"/>
        </w:numPr>
        <w:rPr>
          <w:rFonts w:cstheme="minorHAnsi"/>
          <w:sz w:val="24"/>
        </w:rPr>
      </w:pPr>
      <w:hyperlink r:id="rId51" w:history="1">
        <w:r w:rsidR="009617C3" w:rsidRPr="00693B4F">
          <w:rPr>
            <w:rStyle w:val="Hyperkobling"/>
            <w:rFonts w:cstheme="minorHAnsi"/>
            <w:sz w:val="24"/>
          </w:rPr>
          <w:t xml:space="preserve">Sak </w:t>
        </w:r>
        <w:r w:rsidR="00F8208E" w:rsidRPr="00693B4F">
          <w:rPr>
            <w:rStyle w:val="Hyperkobling"/>
            <w:rFonts w:cstheme="minorHAnsi"/>
            <w:sz w:val="24"/>
          </w:rPr>
          <w:t>2020-007</w:t>
        </w:r>
      </w:hyperlink>
      <w:r w:rsidR="00F05B3E">
        <w:rPr>
          <w:rFonts w:cstheme="minorHAnsi"/>
          <w:sz w:val="24"/>
        </w:rPr>
        <w:t xml:space="preserve"> – Sunnmørsposten – </w:t>
      </w:r>
      <w:r w:rsidR="004704EB">
        <w:rPr>
          <w:rFonts w:cstheme="minorHAnsi"/>
          <w:sz w:val="24"/>
        </w:rPr>
        <w:t>artikkelserie</w:t>
      </w:r>
      <w:r w:rsidR="00AF2453">
        <w:rPr>
          <w:rFonts w:cstheme="minorHAnsi"/>
          <w:sz w:val="24"/>
        </w:rPr>
        <w:t xml:space="preserve">, ikke tilstrekkelig å gjengi tidligere </w:t>
      </w:r>
    </w:p>
    <w:p w14:paraId="18B4E82E" w14:textId="4409CBF0" w:rsidR="00137D04" w:rsidRDefault="00357BEC" w:rsidP="00357BEC">
      <w:pPr>
        <w:pStyle w:val="Listeavsnitt"/>
        <w:rPr>
          <w:rFonts w:cstheme="minorHAnsi"/>
          <w:sz w:val="24"/>
        </w:rPr>
      </w:pPr>
      <w:r>
        <w:rPr>
          <w:rFonts w:cstheme="minorHAnsi"/>
          <w:sz w:val="24"/>
        </w:rPr>
        <w:t xml:space="preserve">                             </w:t>
      </w:r>
      <w:r w:rsidR="00AF2453">
        <w:rPr>
          <w:rFonts w:cstheme="minorHAnsi"/>
          <w:sz w:val="24"/>
        </w:rPr>
        <w:t>kommentarer</w:t>
      </w:r>
      <w:r>
        <w:rPr>
          <w:rFonts w:cstheme="minorHAnsi"/>
          <w:sz w:val="24"/>
        </w:rPr>
        <w:t xml:space="preserve"> og unnlate å kontakte klager.</w:t>
      </w:r>
    </w:p>
    <w:p w14:paraId="23710095" w14:textId="34F2152A" w:rsidR="00F05B3E" w:rsidRDefault="007A1E2F" w:rsidP="0030055C">
      <w:pPr>
        <w:pStyle w:val="Listeavsnitt"/>
        <w:numPr>
          <w:ilvl w:val="0"/>
          <w:numId w:val="1"/>
        </w:numPr>
        <w:rPr>
          <w:rFonts w:cstheme="minorHAnsi"/>
          <w:sz w:val="24"/>
        </w:rPr>
      </w:pPr>
      <w:hyperlink r:id="rId52" w:history="1">
        <w:r w:rsidR="001E1F46" w:rsidRPr="002637A8">
          <w:rPr>
            <w:rStyle w:val="Hyperkobling"/>
            <w:rFonts w:cstheme="minorHAnsi"/>
            <w:sz w:val="24"/>
          </w:rPr>
          <w:t>Sak 2019-250</w:t>
        </w:r>
      </w:hyperlink>
      <w:r w:rsidR="002637A8">
        <w:rPr>
          <w:rFonts w:cstheme="minorHAnsi"/>
          <w:sz w:val="24"/>
        </w:rPr>
        <w:t xml:space="preserve"> – </w:t>
      </w:r>
      <w:proofErr w:type="spellStart"/>
      <w:r w:rsidR="002637A8">
        <w:rPr>
          <w:rFonts w:cstheme="minorHAnsi"/>
          <w:sz w:val="24"/>
        </w:rPr>
        <w:t>Josmiar</w:t>
      </w:r>
      <w:proofErr w:type="spellEnd"/>
      <w:r w:rsidR="002637A8">
        <w:rPr>
          <w:rFonts w:cstheme="minorHAnsi"/>
          <w:sz w:val="24"/>
        </w:rPr>
        <w:t xml:space="preserve"> – </w:t>
      </w:r>
      <w:r w:rsidR="0029531F">
        <w:rPr>
          <w:rFonts w:cstheme="minorHAnsi"/>
          <w:sz w:val="24"/>
        </w:rPr>
        <w:t>ikke forelagt de konkrete beskyldningene.</w:t>
      </w:r>
    </w:p>
    <w:p w14:paraId="3B4DCA56" w14:textId="18EF3166" w:rsidR="0029531F" w:rsidRDefault="007A1E2F" w:rsidP="0030055C">
      <w:pPr>
        <w:pStyle w:val="Listeavsnitt"/>
        <w:numPr>
          <w:ilvl w:val="0"/>
          <w:numId w:val="1"/>
        </w:numPr>
        <w:rPr>
          <w:rFonts w:cstheme="minorHAnsi"/>
          <w:sz w:val="24"/>
        </w:rPr>
      </w:pPr>
      <w:hyperlink r:id="rId53" w:history="1">
        <w:r w:rsidR="001740D9" w:rsidRPr="0039080A">
          <w:rPr>
            <w:rStyle w:val="Hyperkobling"/>
            <w:rFonts w:cstheme="minorHAnsi"/>
            <w:sz w:val="24"/>
          </w:rPr>
          <w:t xml:space="preserve">Sak </w:t>
        </w:r>
        <w:r w:rsidR="0000225B" w:rsidRPr="0039080A">
          <w:rPr>
            <w:rStyle w:val="Hyperkobling"/>
            <w:rFonts w:cstheme="minorHAnsi"/>
            <w:sz w:val="24"/>
          </w:rPr>
          <w:t>2019-221</w:t>
        </w:r>
      </w:hyperlink>
      <w:r w:rsidR="0000225B">
        <w:rPr>
          <w:rFonts w:cstheme="minorHAnsi"/>
          <w:sz w:val="24"/>
        </w:rPr>
        <w:t xml:space="preserve"> – Møre – </w:t>
      </w:r>
      <w:r w:rsidR="00334FE9">
        <w:rPr>
          <w:rFonts w:cstheme="minorHAnsi"/>
          <w:sz w:val="24"/>
        </w:rPr>
        <w:t>mente sterke beskyldninger var en del av en pågående debatt.</w:t>
      </w:r>
    </w:p>
    <w:p w14:paraId="093B5332" w14:textId="74015EAC" w:rsidR="0000225B" w:rsidRDefault="007A1E2F" w:rsidP="0030055C">
      <w:pPr>
        <w:pStyle w:val="Listeavsnitt"/>
        <w:numPr>
          <w:ilvl w:val="0"/>
          <w:numId w:val="1"/>
        </w:numPr>
        <w:rPr>
          <w:rFonts w:cstheme="minorHAnsi"/>
          <w:sz w:val="24"/>
        </w:rPr>
      </w:pPr>
      <w:hyperlink r:id="rId54" w:history="1">
        <w:r w:rsidR="00AD5291" w:rsidRPr="000D747E">
          <w:rPr>
            <w:rStyle w:val="Hyperkobling"/>
            <w:rFonts w:cstheme="minorHAnsi"/>
            <w:sz w:val="24"/>
          </w:rPr>
          <w:t>Sak 2019-218</w:t>
        </w:r>
      </w:hyperlink>
      <w:r w:rsidR="00AD5291">
        <w:rPr>
          <w:rFonts w:cstheme="minorHAnsi"/>
          <w:sz w:val="24"/>
        </w:rPr>
        <w:t xml:space="preserve"> – NRK </w:t>
      </w:r>
      <w:r w:rsidR="000D747E">
        <w:rPr>
          <w:rFonts w:cstheme="minorHAnsi"/>
          <w:sz w:val="24"/>
        </w:rPr>
        <w:t>–</w:t>
      </w:r>
      <w:r w:rsidR="00AD5291">
        <w:rPr>
          <w:rFonts w:cstheme="minorHAnsi"/>
          <w:sz w:val="24"/>
        </w:rPr>
        <w:t xml:space="preserve"> </w:t>
      </w:r>
      <w:r w:rsidR="003565B3">
        <w:rPr>
          <w:rFonts w:cstheme="minorHAnsi"/>
          <w:sz w:val="24"/>
        </w:rPr>
        <w:t xml:space="preserve">manglende imøtegåelse i </w:t>
      </w:r>
      <w:r w:rsidR="00814FFC">
        <w:rPr>
          <w:rFonts w:cstheme="minorHAnsi"/>
          <w:sz w:val="24"/>
        </w:rPr>
        <w:t>debattprogram (Debatten).</w:t>
      </w:r>
    </w:p>
    <w:p w14:paraId="732325FD" w14:textId="48E78FC9" w:rsidR="000D747E" w:rsidRDefault="007A1E2F" w:rsidP="0030055C">
      <w:pPr>
        <w:pStyle w:val="Listeavsnitt"/>
        <w:numPr>
          <w:ilvl w:val="0"/>
          <w:numId w:val="1"/>
        </w:numPr>
        <w:rPr>
          <w:rFonts w:cstheme="minorHAnsi"/>
          <w:sz w:val="24"/>
        </w:rPr>
      </w:pPr>
      <w:hyperlink r:id="rId55" w:history="1">
        <w:r w:rsidR="00E14734" w:rsidRPr="007D6BB1">
          <w:rPr>
            <w:rStyle w:val="Hyperkobling"/>
            <w:rFonts w:cstheme="minorHAnsi"/>
            <w:sz w:val="24"/>
          </w:rPr>
          <w:t>Sak 2019-217</w:t>
        </w:r>
      </w:hyperlink>
      <w:r w:rsidR="00E14734">
        <w:rPr>
          <w:rFonts w:cstheme="minorHAnsi"/>
          <w:sz w:val="24"/>
        </w:rPr>
        <w:t xml:space="preserve"> </w:t>
      </w:r>
      <w:r w:rsidR="00335B2C">
        <w:rPr>
          <w:rFonts w:cstheme="minorHAnsi"/>
          <w:sz w:val="24"/>
        </w:rPr>
        <w:t>–</w:t>
      </w:r>
      <w:r w:rsidR="00E14734">
        <w:rPr>
          <w:rFonts w:cstheme="minorHAnsi"/>
          <w:sz w:val="24"/>
        </w:rPr>
        <w:t xml:space="preserve"> </w:t>
      </w:r>
      <w:r w:rsidR="00335B2C">
        <w:rPr>
          <w:rFonts w:cstheme="minorHAnsi"/>
          <w:sz w:val="24"/>
        </w:rPr>
        <w:t xml:space="preserve">Nationen – </w:t>
      </w:r>
      <w:r w:rsidR="00EE36A6">
        <w:rPr>
          <w:rFonts w:cstheme="minorHAnsi"/>
          <w:sz w:val="24"/>
        </w:rPr>
        <w:t>erkjent at klager ikke fikk seg forelagt påstander.</w:t>
      </w:r>
    </w:p>
    <w:p w14:paraId="1C854D5A" w14:textId="13E5546F" w:rsidR="00335B2C" w:rsidRDefault="007A1E2F" w:rsidP="0030055C">
      <w:pPr>
        <w:pStyle w:val="Listeavsnitt"/>
        <w:numPr>
          <w:ilvl w:val="0"/>
          <w:numId w:val="1"/>
        </w:numPr>
        <w:rPr>
          <w:rFonts w:cstheme="minorHAnsi"/>
          <w:sz w:val="24"/>
        </w:rPr>
      </w:pPr>
      <w:hyperlink r:id="rId56" w:history="1">
        <w:r w:rsidR="00A04EF3" w:rsidRPr="00130FA5">
          <w:rPr>
            <w:rStyle w:val="Hyperkobling"/>
            <w:rFonts w:cstheme="minorHAnsi"/>
            <w:sz w:val="24"/>
          </w:rPr>
          <w:t>Sak 2019-173</w:t>
        </w:r>
      </w:hyperlink>
      <w:r w:rsidR="00A04EF3">
        <w:rPr>
          <w:rFonts w:cstheme="minorHAnsi"/>
          <w:sz w:val="24"/>
        </w:rPr>
        <w:t xml:space="preserve"> – Helgelendingen – </w:t>
      </w:r>
      <w:r w:rsidR="00F93943">
        <w:rPr>
          <w:rFonts w:cstheme="minorHAnsi"/>
          <w:sz w:val="24"/>
        </w:rPr>
        <w:t xml:space="preserve">ikke formidlet klagers skriftlige svar til </w:t>
      </w:r>
      <w:r w:rsidR="00F15B9D">
        <w:rPr>
          <w:rFonts w:cstheme="minorHAnsi"/>
          <w:sz w:val="24"/>
        </w:rPr>
        <w:t>kritisk rapport.</w:t>
      </w:r>
    </w:p>
    <w:p w14:paraId="33BFAE68" w14:textId="5154914E" w:rsidR="00A04EF3" w:rsidRDefault="007A1E2F" w:rsidP="0030055C">
      <w:pPr>
        <w:pStyle w:val="Listeavsnitt"/>
        <w:numPr>
          <w:ilvl w:val="0"/>
          <w:numId w:val="1"/>
        </w:numPr>
        <w:rPr>
          <w:rFonts w:cstheme="minorHAnsi"/>
          <w:sz w:val="24"/>
        </w:rPr>
      </w:pPr>
      <w:hyperlink r:id="rId57" w:history="1">
        <w:r w:rsidR="00212047" w:rsidRPr="00466096">
          <w:rPr>
            <w:rStyle w:val="Hyperkobling"/>
            <w:rFonts w:cstheme="minorHAnsi"/>
            <w:sz w:val="24"/>
          </w:rPr>
          <w:t>Sak 2019-157</w:t>
        </w:r>
      </w:hyperlink>
      <w:r w:rsidR="00212047">
        <w:rPr>
          <w:rFonts w:cstheme="minorHAnsi"/>
          <w:sz w:val="24"/>
        </w:rPr>
        <w:t xml:space="preserve"> </w:t>
      </w:r>
      <w:r w:rsidR="00466096">
        <w:rPr>
          <w:rFonts w:cstheme="minorHAnsi"/>
          <w:sz w:val="24"/>
        </w:rPr>
        <w:t>–</w:t>
      </w:r>
      <w:r w:rsidR="00212047">
        <w:rPr>
          <w:rFonts w:cstheme="minorHAnsi"/>
          <w:sz w:val="24"/>
        </w:rPr>
        <w:t xml:space="preserve"> Gjengangeren</w:t>
      </w:r>
      <w:r w:rsidR="00466096">
        <w:rPr>
          <w:rFonts w:cstheme="minorHAnsi"/>
          <w:sz w:val="24"/>
        </w:rPr>
        <w:t xml:space="preserve"> – </w:t>
      </w:r>
      <w:r w:rsidR="000140E2">
        <w:rPr>
          <w:rFonts w:cstheme="minorHAnsi"/>
          <w:sz w:val="24"/>
        </w:rPr>
        <w:t xml:space="preserve">ikke gitt anledning </w:t>
      </w:r>
      <w:r w:rsidR="009E2AFF">
        <w:rPr>
          <w:rFonts w:cstheme="minorHAnsi"/>
          <w:sz w:val="24"/>
        </w:rPr>
        <w:t xml:space="preserve">til imøtegåelse </w:t>
      </w:r>
      <w:r w:rsidR="007D2E87">
        <w:rPr>
          <w:rFonts w:cstheme="minorHAnsi"/>
          <w:sz w:val="24"/>
        </w:rPr>
        <w:t>–</w:t>
      </w:r>
      <w:r w:rsidR="009E2AFF">
        <w:rPr>
          <w:rFonts w:cstheme="minorHAnsi"/>
          <w:sz w:val="24"/>
        </w:rPr>
        <w:t xml:space="preserve"> </w:t>
      </w:r>
      <w:r w:rsidR="007D2E87">
        <w:rPr>
          <w:rFonts w:cstheme="minorHAnsi"/>
          <w:sz w:val="24"/>
        </w:rPr>
        <w:t>stort sakskompleks.</w:t>
      </w:r>
    </w:p>
    <w:p w14:paraId="57A56436" w14:textId="7BF515FF" w:rsidR="00466096" w:rsidRDefault="007A1E2F" w:rsidP="0030055C">
      <w:pPr>
        <w:pStyle w:val="Listeavsnitt"/>
        <w:numPr>
          <w:ilvl w:val="0"/>
          <w:numId w:val="1"/>
        </w:numPr>
        <w:rPr>
          <w:rFonts w:cstheme="minorHAnsi"/>
          <w:sz w:val="24"/>
        </w:rPr>
      </w:pPr>
      <w:hyperlink r:id="rId58" w:history="1">
        <w:r w:rsidR="007D2E87" w:rsidRPr="00FF6D0D">
          <w:rPr>
            <w:rStyle w:val="Hyperkobling"/>
            <w:rFonts w:cstheme="minorHAnsi"/>
            <w:sz w:val="24"/>
          </w:rPr>
          <w:t xml:space="preserve">Sak </w:t>
        </w:r>
        <w:r w:rsidR="00E05240" w:rsidRPr="00FF6D0D">
          <w:rPr>
            <w:rStyle w:val="Hyperkobling"/>
            <w:rFonts w:cstheme="minorHAnsi"/>
            <w:sz w:val="24"/>
          </w:rPr>
          <w:t>2019-153</w:t>
        </w:r>
      </w:hyperlink>
      <w:r w:rsidR="00E05240">
        <w:rPr>
          <w:rFonts w:cstheme="minorHAnsi"/>
          <w:sz w:val="24"/>
        </w:rPr>
        <w:t xml:space="preserve"> </w:t>
      </w:r>
      <w:r w:rsidR="002B771E">
        <w:rPr>
          <w:rFonts w:cstheme="minorHAnsi"/>
          <w:sz w:val="24"/>
        </w:rPr>
        <w:t>–</w:t>
      </w:r>
      <w:r w:rsidR="00E05240">
        <w:rPr>
          <w:rFonts w:cstheme="minorHAnsi"/>
          <w:sz w:val="24"/>
        </w:rPr>
        <w:t xml:space="preserve"> </w:t>
      </w:r>
      <w:r w:rsidR="002B771E">
        <w:rPr>
          <w:rFonts w:cstheme="minorHAnsi"/>
          <w:sz w:val="24"/>
        </w:rPr>
        <w:t xml:space="preserve">Moss Dagblad </w:t>
      </w:r>
      <w:r w:rsidR="007E2AD9">
        <w:rPr>
          <w:rFonts w:cstheme="minorHAnsi"/>
          <w:sz w:val="24"/>
        </w:rPr>
        <w:t>–</w:t>
      </w:r>
      <w:r w:rsidR="002B771E">
        <w:rPr>
          <w:rFonts w:cstheme="minorHAnsi"/>
          <w:sz w:val="24"/>
        </w:rPr>
        <w:t xml:space="preserve"> </w:t>
      </w:r>
      <w:r w:rsidR="00527EA8">
        <w:rPr>
          <w:rFonts w:cstheme="minorHAnsi"/>
          <w:sz w:val="24"/>
        </w:rPr>
        <w:t>erkjenner at man burde tilbudt samtidig imøtegåelse.</w:t>
      </w:r>
    </w:p>
    <w:p w14:paraId="06B439AE" w14:textId="3CFA0ABC" w:rsidR="00FF6D0D" w:rsidRDefault="007A1E2F" w:rsidP="0030055C">
      <w:pPr>
        <w:pStyle w:val="Listeavsnitt"/>
        <w:numPr>
          <w:ilvl w:val="0"/>
          <w:numId w:val="1"/>
        </w:numPr>
        <w:rPr>
          <w:rFonts w:cstheme="minorHAnsi"/>
          <w:sz w:val="24"/>
        </w:rPr>
      </w:pPr>
      <w:hyperlink r:id="rId59" w:history="1">
        <w:r w:rsidR="007A78FA" w:rsidRPr="00441486">
          <w:rPr>
            <w:rStyle w:val="Hyperkobling"/>
            <w:rFonts w:cstheme="minorHAnsi"/>
            <w:sz w:val="24"/>
          </w:rPr>
          <w:t>Sak 2020-030</w:t>
        </w:r>
      </w:hyperlink>
      <w:r w:rsidR="007A78FA">
        <w:rPr>
          <w:rFonts w:cstheme="minorHAnsi"/>
          <w:sz w:val="24"/>
        </w:rPr>
        <w:t xml:space="preserve"> – Demokraten – </w:t>
      </w:r>
      <w:r w:rsidR="0059499D">
        <w:rPr>
          <w:rFonts w:cstheme="minorHAnsi"/>
          <w:sz w:val="24"/>
        </w:rPr>
        <w:t>erkjenner at man burde gitt samtidig imøtegåelse.</w:t>
      </w:r>
    </w:p>
    <w:p w14:paraId="5A7F92A1" w14:textId="77777777" w:rsidR="00783983" w:rsidRPr="00441486" w:rsidRDefault="00783983" w:rsidP="00441486">
      <w:pPr>
        <w:ind w:left="360"/>
        <w:rPr>
          <w:rFonts w:cstheme="minorHAnsi"/>
          <w:sz w:val="24"/>
        </w:rPr>
      </w:pPr>
    </w:p>
    <w:p w14:paraId="62A51226" w14:textId="77777777" w:rsidR="00FC7C38" w:rsidRPr="00C87E53" w:rsidRDefault="00FC7C38" w:rsidP="00C87E53">
      <w:pPr>
        <w:rPr>
          <w:rFonts w:cstheme="minorHAnsi"/>
          <w:sz w:val="24"/>
        </w:rPr>
      </w:pPr>
    </w:p>
    <w:p w14:paraId="3DF14F61" w14:textId="09B62C52" w:rsidR="00B5402B" w:rsidRPr="006B1804" w:rsidRDefault="005C29AC" w:rsidP="001C29E8">
      <w:pPr>
        <w:contextualSpacing/>
        <w:rPr>
          <w:rFonts w:cstheme="minorHAnsi"/>
          <w:sz w:val="36"/>
          <w:szCs w:val="36"/>
        </w:rPr>
      </w:pPr>
      <w:r w:rsidRPr="006B1804">
        <w:rPr>
          <w:rFonts w:cstheme="minorHAnsi"/>
          <w:sz w:val="36"/>
          <w:szCs w:val="36"/>
        </w:rPr>
        <w:t xml:space="preserve">Proffer </w:t>
      </w:r>
      <w:proofErr w:type="spellStart"/>
      <w:r w:rsidRPr="006B1804">
        <w:rPr>
          <w:rFonts w:cstheme="minorHAnsi"/>
          <w:sz w:val="36"/>
          <w:szCs w:val="36"/>
        </w:rPr>
        <w:t>vs</w:t>
      </w:r>
      <w:proofErr w:type="spellEnd"/>
      <w:r w:rsidRPr="006B1804">
        <w:rPr>
          <w:rFonts w:cstheme="minorHAnsi"/>
          <w:sz w:val="36"/>
          <w:szCs w:val="36"/>
        </w:rPr>
        <w:t xml:space="preserve"> private = uavgjort</w:t>
      </w:r>
    </w:p>
    <w:p w14:paraId="795B2066" w14:textId="1FBDCB79" w:rsidR="003603D8" w:rsidRDefault="005C29AC" w:rsidP="001C29E8">
      <w:pPr>
        <w:contextualSpacing/>
        <w:rPr>
          <w:rFonts w:cstheme="minorHAnsi"/>
          <w:sz w:val="24"/>
        </w:rPr>
      </w:pPr>
      <w:r w:rsidRPr="006B1804">
        <w:rPr>
          <w:rFonts w:cstheme="minorHAnsi"/>
          <w:sz w:val="24"/>
        </w:rPr>
        <w:t>I</w:t>
      </w:r>
      <w:r w:rsidR="00ED06E4" w:rsidRPr="006B1804">
        <w:rPr>
          <w:rFonts w:cstheme="minorHAnsi"/>
          <w:sz w:val="24"/>
        </w:rPr>
        <w:t xml:space="preserve"> </w:t>
      </w:r>
      <w:r w:rsidR="00A83272">
        <w:rPr>
          <w:rFonts w:cstheme="minorHAnsi"/>
          <w:sz w:val="24"/>
        </w:rPr>
        <w:t xml:space="preserve">mange år var det grunnlag for å si at </w:t>
      </w:r>
      <w:r w:rsidR="00ED06E4" w:rsidRPr="006B1804">
        <w:rPr>
          <w:rFonts w:cstheme="minorHAnsi"/>
          <w:sz w:val="24"/>
        </w:rPr>
        <w:t xml:space="preserve">punkt 4.14 </w:t>
      </w:r>
      <w:r w:rsidR="00260F67">
        <w:rPr>
          <w:rFonts w:cstheme="minorHAnsi"/>
          <w:sz w:val="24"/>
        </w:rPr>
        <w:t xml:space="preserve">var </w:t>
      </w:r>
      <w:r w:rsidR="00ED06E4" w:rsidRPr="006B1804">
        <w:rPr>
          <w:rFonts w:cstheme="minorHAnsi"/>
          <w:sz w:val="24"/>
        </w:rPr>
        <w:t>«proffenes punkt»</w:t>
      </w:r>
      <w:r w:rsidR="003603D8">
        <w:rPr>
          <w:rFonts w:cstheme="minorHAnsi"/>
          <w:sz w:val="24"/>
        </w:rPr>
        <w:t>. D</w:t>
      </w:r>
      <w:r w:rsidRPr="006B1804">
        <w:rPr>
          <w:rFonts w:cstheme="minorHAnsi"/>
          <w:sz w:val="24"/>
        </w:rPr>
        <w:t xml:space="preserve">et vil si at det er de profesjonelle aktørene og klagerne som både </w:t>
      </w:r>
      <w:proofErr w:type="gramStart"/>
      <w:r w:rsidRPr="006B1804">
        <w:rPr>
          <w:rFonts w:cstheme="minorHAnsi"/>
          <w:sz w:val="24"/>
        </w:rPr>
        <w:t>påberop</w:t>
      </w:r>
      <w:r w:rsidR="00260F67">
        <w:rPr>
          <w:rFonts w:cstheme="minorHAnsi"/>
          <w:sz w:val="24"/>
        </w:rPr>
        <w:t>te</w:t>
      </w:r>
      <w:r w:rsidRPr="006B1804">
        <w:rPr>
          <w:rFonts w:cstheme="minorHAnsi"/>
          <w:sz w:val="24"/>
        </w:rPr>
        <w:t xml:space="preserve"> seg</w:t>
      </w:r>
      <w:proofErr w:type="gramEnd"/>
      <w:r w:rsidRPr="006B1804">
        <w:rPr>
          <w:rFonts w:cstheme="minorHAnsi"/>
          <w:sz w:val="24"/>
        </w:rPr>
        <w:t xml:space="preserve"> dette punktet oftest, og som oftest f</w:t>
      </w:r>
      <w:r w:rsidR="00260F67">
        <w:rPr>
          <w:rFonts w:cstheme="minorHAnsi"/>
          <w:sz w:val="24"/>
        </w:rPr>
        <w:t>ikk</w:t>
      </w:r>
      <w:r w:rsidRPr="006B1804">
        <w:rPr>
          <w:rFonts w:cstheme="minorHAnsi"/>
          <w:sz w:val="24"/>
        </w:rPr>
        <w:t xml:space="preserve"> medhold. </w:t>
      </w:r>
      <w:r w:rsidR="00A83272">
        <w:rPr>
          <w:rFonts w:cstheme="minorHAnsi"/>
          <w:sz w:val="24"/>
        </w:rPr>
        <w:t>Det</w:t>
      </w:r>
      <w:r w:rsidR="00260F67">
        <w:rPr>
          <w:rFonts w:cstheme="minorHAnsi"/>
          <w:sz w:val="24"/>
        </w:rPr>
        <w:t xml:space="preserve">te har endret seg de siste årene. </w:t>
      </w:r>
      <w:r w:rsidR="00B30F0A">
        <w:rPr>
          <w:rFonts w:cstheme="minorHAnsi"/>
          <w:sz w:val="24"/>
        </w:rPr>
        <w:t xml:space="preserve">Riktignok er det slik at de profesjonelle klagerne </w:t>
      </w:r>
      <w:r w:rsidR="000524CC">
        <w:rPr>
          <w:rFonts w:cstheme="minorHAnsi"/>
          <w:sz w:val="24"/>
        </w:rPr>
        <w:t>er hyppigere representert på statistikken over antallet klager etter punkt 4.14</w:t>
      </w:r>
      <w:r w:rsidR="002958E5">
        <w:rPr>
          <w:rFonts w:cstheme="minorHAnsi"/>
          <w:sz w:val="24"/>
        </w:rPr>
        <w:t>.</w:t>
      </w:r>
    </w:p>
    <w:p w14:paraId="798AC7F9" w14:textId="0D25B3FB" w:rsidR="003603D8" w:rsidRPr="003C3F85" w:rsidRDefault="002958E5" w:rsidP="003C3F85">
      <w:pPr>
        <w:pStyle w:val="Listeavsnitt"/>
        <w:numPr>
          <w:ilvl w:val="0"/>
          <w:numId w:val="5"/>
        </w:numPr>
        <w:rPr>
          <w:rFonts w:cstheme="minorHAnsi"/>
          <w:sz w:val="24"/>
        </w:rPr>
      </w:pPr>
      <w:r w:rsidRPr="003C3F85">
        <w:rPr>
          <w:rFonts w:cstheme="minorHAnsi"/>
          <w:sz w:val="24"/>
        </w:rPr>
        <w:t xml:space="preserve">I 2019 </w:t>
      </w:r>
      <w:r w:rsidR="00916F19" w:rsidRPr="003C3F85">
        <w:rPr>
          <w:rFonts w:cstheme="minorHAnsi"/>
          <w:sz w:val="24"/>
        </w:rPr>
        <w:t>var 25 av 46 klager</w:t>
      </w:r>
      <w:r w:rsidR="004342E2" w:rsidRPr="003C3F85">
        <w:rPr>
          <w:rFonts w:cstheme="minorHAnsi"/>
          <w:sz w:val="24"/>
        </w:rPr>
        <w:t xml:space="preserve"> med henvisning til 4.14 fra «profesjonelle» klagere og 21 fra privatpersoner. </w:t>
      </w:r>
      <w:r w:rsidR="000E51F1" w:rsidRPr="003C3F85">
        <w:rPr>
          <w:rFonts w:cstheme="minorHAnsi"/>
          <w:sz w:val="24"/>
        </w:rPr>
        <w:t xml:space="preserve">I 32 prosent av klagene fikk de profesjonelle medhold. Tilsvarende tall for privatpersonene var 23 prosent. </w:t>
      </w:r>
    </w:p>
    <w:p w14:paraId="37FD535B" w14:textId="77777777" w:rsidR="003C3F85" w:rsidRDefault="003C3F85" w:rsidP="003C3F85">
      <w:pPr>
        <w:pStyle w:val="Listeavsnitt"/>
        <w:rPr>
          <w:rFonts w:cstheme="minorHAnsi"/>
          <w:sz w:val="24"/>
        </w:rPr>
      </w:pPr>
    </w:p>
    <w:p w14:paraId="3950EF28" w14:textId="0C7397EA" w:rsidR="00ED06E4" w:rsidRPr="003C3F85" w:rsidRDefault="000E51F1" w:rsidP="003C3F85">
      <w:pPr>
        <w:pStyle w:val="Listeavsnitt"/>
        <w:numPr>
          <w:ilvl w:val="0"/>
          <w:numId w:val="5"/>
        </w:numPr>
        <w:rPr>
          <w:rFonts w:cstheme="minorHAnsi"/>
          <w:sz w:val="24"/>
        </w:rPr>
      </w:pPr>
      <w:r w:rsidRPr="003C3F85">
        <w:rPr>
          <w:rFonts w:cstheme="minorHAnsi"/>
          <w:sz w:val="24"/>
        </w:rPr>
        <w:t>I</w:t>
      </w:r>
      <w:r w:rsidR="00576CBA" w:rsidRPr="003C3F85">
        <w:rPr>
          <w:rFonts w:cstheme="minorHAnsi"/>
          <w:sz w:val="24"/>
        </w:rPr>
        <w:t xml:space="preserve"> 2020 var det </w:t>
      </w:r>
      <w:r w:rsidR="00A7347E" w:rsidRPr="003C3F85">
        <w:rPr>
          <w:rFonts w:cstheme="minorHAnsi"/>
          <w:sz w:val="24"/>
        </w:rPr>
        <w:t>39 klager med henvisning til 4.14 som ble fremmet av «profesjonelle» klagere og 25 fra privatpersoner</w:t>
      </w:r>
      <w:r w:rsidR="00467025" w:rsidRPr="003C3F85">
        <w:rPr>
          <w:rFonts w:cstheme="minorHAnsi"/>
          <w:sz w:val="24"/>
        </w:rPr>
        <w:t xml:space="preserve">. De profesjonelle fikk medhold i 42 prosent av klagene og de private i 40 prosent. Det indikerer </w:t>
      </w:r>
      <w:r w:rsidR="00E10D9B" w:rsidRPr="003C3F85">
        <w:rPr>
          <w:rFonts w:cstheme="minorHAnsi"/>
          <w:sz w:val="24"/>
        </w:rPr>
        <w:t>klart at de profesjonelle ikke har noe fortrinn eller får lettere gjennomslag enn «vanlige» klagere.</w:t>
      </w:r>
    </w:p>
    <w:sectPr w:rsidR="00ED06E4" w:rsidRPr="003C3F85" w:rsidSect="00B477B6">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3D7CF" w14:textId="77777777" w:rsidR="00D86AB4" w:rsidRDefault="00D86AB4" w:rsidP="003A7FF6">
      <w:pPr>
        <w:spacing w:after="0" w:line="240" w:lineRule="auto"/>
      </w:pPr>
      <w:r>
        <w:separator/>
      </w:r>
    </w:p>
  </w:endnote>
  <w:endnote w:type="continuationSeparator" w:id="0">
    <w:p w14:paraId="5044DF18" w14:textId="77777777" w:rsidR="00D86AB4" w:rsidRDefault="00D86AB4" w:rsidP="003A7FF6">
      <w:pPr>
        <w:spacing w:after="0" w:line="240" w:lineRule="auto"/>
      </w:pPr>
      <w:r>
        <w:continuationSeparator/>
      </w:r>
    </w:p>
  </w:endnote>
  <w:endnote w:type="continuationNotice" w:id="1">
    <w:p w14:paraId="2355C2C0" w14:textId="77777777" w:rsidR="00D86AB4" w:rsidRDefault="00D86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E200B" w14:textId="77777777" w:rsidR="00D86AB4" w:rsidRDefault="00D86AB4" w:rsidP="003A7FF6">
      <w:pPr>
        <w:spacing w:after="0" w:line="240" w:lineRule="auto"/>
      </w:pPr>
      <w:r>
        <w:separator/>
      </w:r>
    </w:p>
  </w:footnote>
  <w:footnote w:type="continuationSeparator" w:id="0">
    <w:p w14:paraId="1BB838ED" w14:textId="77777777" w:rsidR="00D86AB4" w:rsidRDefault="00D86AB4" w:rsidP="003A7FF6">
      <w:pPr>
        <w:spacing w:after="0" w:line="240" w:lineRule="auto"/>
      </w:pPr>
      <w:r>
        <w:continuationSeparator/>
      </w:r>
    </w:p>
  </w:footnote>
  <w:footnote w:type="continuationNotice" w:id="1">
    <w:p w14:paraId="33CF296A" w14:textId="77777777" w:rsidR="00D86AB4" w:rsidRDefault="00D86AB4">
      <w:pPr>
        <w:spacing w:after="0" w:line="240" w:lineRule="auto"/>
      </w:pPr>
    </w:p>
  </w:footnote>
  <w:footnote w:id="2">
    <w:p w14:paraId="0D4382B0" w14:textId="1F63B5A3" w:rsidR="00D86AB4" w:rsidRDefault="00D86AB4">
      <w:pPr>
        <w:pStyle w:val="Fotnotetekst"/>
      </w:pPr>
      <w:r>
        <w:rPr>
          <w:rStyle w:val="Fotnotereferanse"/>
        </w:rPr>
        <w:footnoteRef/>
      </w:r>
      <w:r>
        <w:t xml:space="preserve"> 123 klagesaker: PFU ga én felles uttalelse i parallell klage mot Fædrelandsvennen, Aftenposten og Stavanger Aftenblad (</w:t>
      </w:r>
      <w:hyperlink r:id="rId1" w:history="1">
        <w:r w:rsidRPr="00205168">
          <w:rPr>
            <w:rStyle w:val="Hyperkobling"/>
          </w:rPr>
          <w:t>sak 235-237/19</w:t>
        </w:r>
      </w:hyperlink>
      <w:r>
        <w:t>).</w:t>
      </w:r>
    </w:p>
  </w:footnote>
  <w:footnote w:id="3">
    <w:p w14:paraId="49342B4C" w14:textId="77777777" w:rsidR="00D86AB4" w:rsidRDefault="00D86AB4" w:rsidP="00866646">
      <w:pPr>
        <w:pStyle w:val="Fotnotetekst"/>
      </w:pPr>
      <w:r>
        <w:rPr>
          <w:rStyle w:val="Fotnotereferanse"/>
        </w:rPr>
        <w:footnoteRef/>
      </w:r>
      <w:r>
        <w:t xml:space="preserve"> 39 minnelig ordning, syv trukket og 10 henlagt.</w:t>
      </w:r>
    </w:p>
  </w:footnote>
  <w:footnote w:id="4">
    <w:p w14:paraId="62E7ADE3" w14:textId="77777777" w:rsidR="00D86AB4" w:rsidRDefault="00D86AB4" w:rsidP="00C07638">
      <w:pPr>
        <w:pStyle w:val="Fotnotetekst"/>
      </w:pPr>
      <w:r>
        <w:rPr>
          <w:rStyle w:val="Fotnotereferanse"/>
        </w:rPr>
        <w:footnoteRef/>
      </w:r>
      <w:r>
        <w:t xml:space="preserve"> «Forenklet» behandling innebærer at det ikke gjennomføres tilsvarsrunde, men at utvalget for seg forelagt et utkast til uttalelse med forslag om at den innklagede redaksjonen går «fri». Dersom utvalget ikke er enig i sekretariatets konklusjon går saken til vanlig behandling.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523C1"/>
    <w:multiLevelType w:val="hybridMultilevel"/>
    <w:tmpl w:val="C3181566"/>
    <w:lvl w:ilvl="0" w:tplc="DBA600AA">
      <w:start w:val="1"/>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37F614EC"/>
    <w:multiLevelType w:val="hybridMultilevel"/>
    <w:tmpl w:val="A35EC1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9731F2"/>
    <w:multiLevelType w:val="hybridMultilevel"/>
    <w:tmpl w:val="76227C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A6F0297"/>
    <w:multiLevelType w:val="hybridMultilevel"/>
    <w:tmpl w:val="34BA1B44"/>
    <w:lvl w:ilvl="0" w:tplc="4EC06C9C">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742F03EE"/>
    <w:multiLevelType w:val="hybridMultilevel"/>
    <w:tmpl w:val="C50AAE98"/>
    <w:lvl w:ilvl="0" w:tplc="BEC40C2E">
      <w:start w:val="6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48"/>
    <w:rsid w:val="0000225B"/>
    <w:rsid w:val="00003C30"/>
    <w:rsid w:val="00004AA7"/>
    <w:rsid w:val="0000688C"/>
    <w:rsid w:val="00006951"/>
    <w:rsid w:val="00010AED"/>
    <w:rsid w:val="00011DCF"/>
    <w:rsid w:val="000140E2"/>
    <w:rsid w:val="000158CD"/>
    <w:rsid w:val="00017B98"/>
    <w:rsid w:val="0002014B"/>
    <w:rsid w:val="00021C79"/>
    <w:rsid w:val="0002415B"/>
    <w:rsid w:val="00030330"/>
    <w:rsid w:val="000316C2"/>
    <w:rsid w:val="000334F0"/>
    <w:rsid w:val="000412D1"/>
    <w:rsid w:val="00043522"/>
    <w:rsid w:val="0004511C"/>
    <w:rsid w:val="0004757F"/>
    <w:rsid w:val="00050EE9"/>
    <w:rsid w:val="000524CC"/>
    <w:rsid w:val="00056FE0"/>
    <w:rsid w:val="0006202C"/>
    <w:rsid w:val="00075637"/>
    <w:rsid w:val="0007718D"/>
    <w:rsid w:val="0008238A"/>
    <w:rsid w:val="00084D8E"/>
    <w:rsid w:val="0008590C"/>
    <w:rsid w:val="00086974"/>
    <w:rsid w:val="0009001D"/>
    <w:rsid w:val="00094C9E"/>
    <w:rsid w:val="000A030B"/>
    <w:rsid w:val="000A3E6D"/>
    <w:rsid w:val="000A4323"/>
    <w:rsid w:val="000A70A0"/>
    <w:rsid w:val="000B7565"/>
    <w:rsid w:val="000C0BB8"/>
    <w:rsid w:val="000C3F0B"/>
    <w:rsid w:val="000C4191"/>
    <w:rsid w:val="000C6779"/>
    <w:rsid w:val="000C7D2A"/>
    <w:rsid w:val="000D1583"/>
    <w:rsid w:val="000D67B9"/>
    <w:rsid w:val="000D747E"/>
    <w:rsid w:val="000E1BA4"/>
    <w:rsid w:val="000E1F00"/>
    <w:rsid w:val="000E214B"/>
    <w:rsid w:val="000E2651"/>
    <w:rsid w:val="000E32B6"/>
    <w:rsid w:val="000E51F1"/>
    <w:rsid w:val="000F0782"/>
    <w:rsid w:val="000F4BBD"/>
    <w:rsid w:val="000F5CED"/>
    <w:rsid w:val="00100963"/>
    <w:rsid w:val="00110214"/>
    <w:rsid w:val="00110D72"/>
    <w:rsid w:val="00113484"/>
    <w:rsid w:val="00117F50"/>
    <w:rsid w:val="0012308F"/>
    <w:rsid w:val="0012363C"/>
    <w:rsid w:val="00130FA5"/>
    <w:rsid w:val="00131704"/>
    <w:rsid w:val="0013373C"/>
    <w:rsid w:val="001340C5"/>
    <w:rsid w:val="00137D04"/>
    <w:rsid w:val="00142DE0"/>
    <w:rsid w:val="00144166"/>
    <w:rsid w:val="001463AC"/>
    <w:rsid w:val="00153D05"/>
    <w:rsid w:val="0016066E"/>
    <w:rsid w:val="00160E34"/>
    <w:rsid w:val="001740D9"/>
    <w:rsid w:val="00176389"/>
    <w:rsid w:val="00186B71"/>
    <w:rsid w:val="00191520"/>
    <w:rsid w:val="0019165F"/>
    <w:rsid w:val="00192A56"/>
    <w:rsid w:val="001A2D14"/>
    <w:rsid w:val="001A7574"/>
    <w:rsid w:val="001B5E30"/>
    <w:rsid w:val="001B72A5"/>
    <w:rsid w:val="001B7CB4"/>
    <w:rsid w:val="001C256F"/>
    <w:rsid w:val="001C29E8"/>
    <w:rsid w:val="001C5874"/>
    <w:rsid w:val="001C7AB7"/>
    <w:rsid w:val="001C7D14"/>
    <w:rsid w:val="001D1EA2"/>
    <w:rsid w:val="001D57A0"/>
    <w:rsid w:val="001D5EC0"/>
    <w:rsid w:val="001E1F46"/>
    <w:rsid w:val="001E6146"/>
    <w:rsid w:val="001F06A2"/>
    <w:rsid w:val="001F3362"/>
    <w:rsid w:val="001F349D"/>
    <w:rsid w:val="001F6C18"/>
    <w:rsid w:val="002026B4"/>
    <w:rsid w:val="00205014"/>
    <w:rsid w:val="00205168"/>
    <w:rsid w:val="0021173A"/>
    <w:rsid w:val="00212047"/>
    <w:rsid w:val="00224031"/>
    <w:rsid w:val="0022513E"/>
    <w:rsid w:val="00230DF3"/>
    <w:rsid w:val="0024007F"/>
    <w:rsid w:val="00256D60"/>
    <w:rsid w:val="002571C3"/>
    <w:rsid w:val="00260F67"/>
    <w:rsid w:val="002637A8"/>
    <w:rsid w:val="00263F97"/>
    <w:rsid w:val="00267361"/>
    <w:rsid w:val="00271196"/>
    <w:rsid w:val="002718F5"/>
    <w:rsid w:val="00272556"/>
    <w:rsid w:val="00272716"/>
    <w:rsid w:val="002763E3"/>
    <w:rsid w:val="002769CF"/>
    <w:rsid w:val="0028180A"/>
    <w:rsid w:val="002824B4"/>
    <w:rsid w:val="002906B9"/>
    <w:rsid w:val="00292A51"/>
    <w:rsid w:val="0029531F"/>
    <w:rsid w:val="002954D4"/>
    <w:rsid w:val="002958E5"/>
    <w:rsid w:val="002A17AD"/>
    <w:rsid w:val="002A5C2F"/>
    <w:rsid w:val="002A79CD"/>
    <w:rsid w:val="002B4B6A"/>
    <w:rsid w:val="002B6855"/>
    <w:rsid w:val="002B771E"/>
    <w:rsid w:val="002C4D3F"/>
    <w:rsid w:val="002C5179"/>
    <w:rsid w:val="002C59E6"/>
    <w:rsid w:val="002D04C7"/>
    <w:rsid w:val="002D37D1"/>
    <w:rsid w:val="002D46A9"/>
    <w:rsid w:val="002D7AD0"/>
    <w:rsid w:val="002E6A4B"/>
    <w:rsid w:val="002E7954"/>
    <w:rsid w:val="002F4DCE"/>
    <w:rsid w:val="0030055C"/>
    <w:rsid w:val="00300941"/>
    <w:rsid w:val="0030148C"/>
    <w:rsid w:val="003016F2"/>
    <w:rsid w:val="00310116"/>
    <w:rsid w:val="00312EE3"/>
    <w:rsid w:val="003244B7"/>
    <w:rsid w:val="00326ECA"/>
    <w:rsid w:val="00334273"/>
    <w:rsid w:val="00334C80"/>
    <w:rsid w:val="00334FE9"/>
    <w:rsid w:val="00335B2C"/>
    <w:rsid w:val="00341A01"/>
    <w:rsid w:val="00346077"/>
    <w:rsid w:val="003565B3"/>
    <w:rsid w:val="00357304"/>
    <w:rsid w:val="00357BEC"/>
    <w:rsid w:val="003603D8"/>
    <w:rsid w:val="00363F70"/>
    <w:rsid w:val="00370E46"/>
    <w:rsid w:val="00372C9A"/>
    <w:rsid w:val="003731C2"/>
    <w:rsid w:val="00375395"/>
    <w:rsid w:val="00375487"/>
    <w:rsid w:val="00383E2C"/>
    <w:rsid w:val="00384771"/>
    <w:rsid w:val="00385C7E"/>
    <w:rsid w:val="0039080A"/>
    <w:rsid w:val="003923FB"/>
    <w:rsid w:val="003941AC"/>
    <w:rsid w:val="00397601"/>
    <w:rsid w:val="003A7FF6"/>
    <w:rsid w:val="003B1D28"/>
    <w:rsid w:val="003B5914"/>
    <w:rsid w:val="003C0FA8"/>
    <w:rsid w:val="003C2EB8"/>
    <w:rsid w:val="003C3F85"/>
    <w:rsid w:val="003C4268"/>
    <w:rsid w:val="003C4600"/>
    <w:rsid w:val="003C730A"/>
    <w:rsid w:val="003D02DB"/>
    <w:rsid w:val="003D3387"/>
    <w:rsid w:val="003D62EB"/>
    <w:rsid w:val="003E0818"/>
    <w:rsid w:val="003E49AD"/>
    <w:rsid w:val="003E5319"/>
    <w:rsid w:val="003E7260"/>
    <w:rsid w:val="003F282B"/>
    <w:rsid w:val="003F4049"/>
    <w:rsid w:val="003F5C52"/>
    <w:rsid w:val="003F656A"/>
    <w:rsid w:val="0041532A"/>
    <w:rsid w:val="00415709"/>
    <w:rsid w:val="0041774C"/>
    <w:rsid w:val="00417D61"/>
    <w:rsid w:val="00434220"/>
    <w:rsid w:val="004342E2"/>
    <w:rsid w:val="00435932"/>
    <w:rsid w:val="00437F71"/>
    <w:rsid w:val="00440652"/>
    <w:rsid w:val="00441486"/>
    <w:rsid w:val="00445B9C"/>
    <w:rsid w:val="00445C64"/>
    <w:rsid w:val="0045414D"/>
    <w:rsid w:val="00454A24"/>
    <w:rsid w:val="00454F65"/>
    <w:rsid w:val="00455BC4"/>
    <w:rsid w:val="00457BFC"/>
    <w:rsid w:val="00466096"/>
    <w:rsid w:val="00467025"/>
    <w:rsid w:val="00467C8E"/>
    <w:rsid w:val="004704EB"/>
    <w:rsid w:val="00470601"/>
    <w:rsid w:val="00473D2B"/>
    <w:rsid w:val="004767E3"/>
    <w:rsid w:val="00481E9B"/>
    <w:rsid w:val="00485AF8"/>
    <w:rsid w:val="00486434"/>
    <w:rsid w:val="00492B58"/>
    <w:rsid w:val="00493E38"/>
    <w:rsid w:val="004958AC"/>
    <w:rsid w:val="00497182"/>
    <w:rsid w:val="0049741A"/>
    <w:rsid w:val="004A08A2"/>
    <w:rsid w:val="004A09A2"/>
    <w:rsid w:val="004A21ED"/>
    <w:rsid w:val="004A7E24"/>
    <w:rsid w:val="004B15E0"/>
    <w:rsid w:val="004B343B"/>
    <w:rsid w:val="004B7CC9"/>
    <w:rsid w:val="004C119D"/>
    <w:rsid w:val="004C16AD"/>
    <w:rsid w:val="004C4C59"/>
    <w:rsid w:val="004D069D"/>
    <w:rsid w:val="004D2A5A"/>
    <w:rsid w:val="004D2F20"/>
    <w:rsid w:val="004D339A"/>
    <w:rsid w:val="004E25B1"/>
    <w:rsid w:val="004E58EC"/>
    <w:rsid w:val="004F147E"/>
    <w:rsid w:val="004F57E4"/>
    <w:rsid w:val="004F7303"/>
    <w:rsid w:val="00504490"/>
    <w:rsid w:val="00514F90"/>
    <w:rsid w:val="005159A9"/>
    <w:rsid w:val="00516C0A"/>
    <w:rsid w:val="005204D9"/>
    <w:rsid w:val="00520D6B"/>
    <w:rsid w:val="00521341"/>
    <w:rsid w:val="00522BF6"/>
    <w:rsid w:val="005261CB"/>
    <w:rsid w:val="005276FF"/>
    <w:rsid w:val="00527EA8"/>
    <w:rsid w:val="00531A48"/>
    <w:rsid w:val="00532070"/>
    <w:rsid w:val="00536939"/>
    <w:rsid w:val="00536B66"/>
    <w:rsid w:val="005459A5"/>
    <w:rsid w:val="005476F4"/>
    <w:rsid w:val="00547E88"/>
    <w:rsid w:val="00561768"/>
    <w:rsid w:val="00562A57"/>
    <w:rsid w:val="00564973"/>
    <w:rsid w:val="00570826"/>
    <w:rsid w:val="005717C8"/>
    <w:rsid w:val="00572C53"/>
    <w:rsid w:val="0057589C"/>
    <w:rsid w:val="00576CBA"/>
    <w:rsid w:val="005806A6"/>
    <w:rsid w:val="0058139A"/>
    <w:rsid w:val="00581AE8"/>
    <w:rsid w:val="005863B9"/>
    <w:rsid w:val="00592E54"/>
    <w:rsid w:val="00593639"/>
    <w:rsid w:val="0059499D"/>
    <w:rsid w:val="005A00F8"/>
    <w:rsid w:val="005A2C24"/>
    <w:rsid w:val="005A4015"/>
    <w:rsid w:val="005A6B6F"/>
    <w:rsid w:val="005B2D5F"/>
    <w:rsid w:val="005C2710"/>
    <w:rsid w:val="005C29AC"/>
    <w:rsid w:val="005C349D"/>
    <w:rsid w:val="005C497C"/>
    <w:rsid w:val="005C4C17"/>
    <w:rsid w:val="005C5837"/>
    <w:rsid w:val="005C7C01"/>
    <w:rsid w:val="005D075D"/>
    <w:rsid w:val="005D1186"/>
    <w:rsid w:val="005D164B"/>
    <w:rsid w:val="005D3412"/>
    <w:rsid w:val="005E14B0"/>
    <w:rsid w:val="005E6E6A"/>
    <w:rsid w:val="005E73A6"/>
    <w:rsid w:val="006002E2"/>
    <w:rsid w:val="0060794D"/>
    <w:rsid w:val="00610E5F"/>
    <w:rsid w:val="006149CD"/>
    <w:rsid w:val="006255E9"/>
    <w:rsid w:val="00626C48"/>
    <w:rsid w:val="00631579"/>
    <w:rsid w:val="00632995"/>
    <w:rsid w:val="006330A2"/>
    <w:rsid w:val="00635A78"/>
    <w:rsid w:val="00636A06"/>
    <w:rsid w:val="00640563"/>
    <w:rsid w:val="0065339A"/>
    <w:rsid w:val="006534B9"/>
    <w:rsid w:val="00655391"/>
    <w:rsid w:val="006554D9"/>
    <w:rsid w:val="006601D9"/>
    <w:rsid w:val="00661305"/>
    <w:rsid w:val="00664E28"/>
    <w:rsid w:val="006650C6"/>
    <w:rsid w:val="00666B34"/>
    <w:rsid w:val="00672F23"/>
    <w:rsid w:val="006748E7"/>
    <w:rsid w:val="00674E7F"/>
    <w:rsid w:val="006811EF"/>
    <w:rsid w:val="00684C5E"/>
    <w:rsid w:val="00685BB1"/>
    <w:rsid w:val="00693B4F"/>
    <w:rsid w:val="00694F92"/>
    <w:rsid w:val="0069631C"/>
    <w:rsid w:val="006A4669"/>
    <w:rsid w:val="006A7271"/>
    <w:rsid w:val="006B17F7"/>
    <w:rsid w:val="006B1804"/>
    <w:rsid w:val="006B4444"/>
    <w:rsid w:val="006B61B6"/>
    <w:rsid w:val="006C03EA"/>
    <w:rsid w:val="006C601F"/>
    <w:rsid w:val="006D0199"/>
    <w:rsid w:val="006D0C59"/>
    <w:rsid w:val="006D2130"/>
    <w:rsid w:val="006D2864"/>
    <w:rsid w:val="006D46CC"/>
    <w:rsid w:val="006D4C62"/>
    <w:rsid w:val="006D5A1C"/>
    <w:rsid w:val="006D5A4F"/>
    <w:rsid w:val="006E1B83"/>
    <w:rsid w:val="006E3176"/>
    <w:rsid w:val="006F08DE"/>
    <w:rsid w:val="006F2FC5"/>
    <w:rsid w:val="0070127D"/>
    <w:rsid w:val="00701406"/>
    <w:rsid w:val="00711E00"/>
    <w:rsid w:val="00716F5A"/>
    <w:rsid w:val="007253F2"/>
    <w:rsid w:val="00733CFE"/>
    <w:rsid w:val="00735A2D"/>
    <w:rsid w:val="00736B15"/>
    <w:rsid w:val="00737F5C"/>
    <w:rsid w:val="00741C10"/>
    <w:rsid w:val="007471CC"/>
    <w:rsid w:val="007472CF"/>
    <w:rsid w:val="007473BA"/>
    <w:rsid w:val="0075537F"/>
    <w:rsid w:val="00756F37"/>
    <w:rsid w:val="00773752"/>
    <w:rsid w:val="00773E65"/>
    <w:rsid w:val="00780BB6"/>
    <w:rsid w:val="00783983"/>
    <w:rsid w:val="007857B6"/>
    <w:rsid w:val="0079005A"/>
    <w:rsid w:val="00790DF6"/>
    <w:rsid w:val="0079145C"/>
    <w:rsid w:val="007A1243"/>
    <w:rsid w:val="007A69AB"/>
    <w:rsid w:val="007A78FA"/>
    <w:rsid w:val="007B08F4"/>
    <w:rsid w:val="007B75F1"/>
    <w:rsid w:val="007C0BCB"/>
    <w:rsid w:val="007C4075"/>
    <w:rsid w:val="007C40BE"/>
    <w:rsid w:val="007C5CF3"/>
    <w:rsid w:val="007D0F23"/>
    <w:rsid w:val="007D2E87"/>
    <w:rsid w:val="007D6BB1"/>
    <w:rsid w:val="007E2AD9"/>
    <w:rsid w:val="007E4294"/>
    <w:rsid w:val="007E612D"/>
    <w:rsid w:val="007E69D8"/>
    <w:rsid w:val="007E73E5"/>
    <w:rsid w:val="007F036F"/>
    <w:rsid w:val="0080232E"/>
    <w:rsid w:val="00805D1C"/>
    <w:rsid w:val="00807366"/>
    <w:rsid w:val="00811618"/>
    <w:rsid w:val="00814FFC"/>
    <w:rsid w:val="008152EC"/>
    <w:rsid w:val="00821579"/>
    <w:rsid w:val="008223BF"/>
    <w:rsid w:val="00823589"/>
    <w:rsid w:val="00833F60"/>
    <w:rsid w:val="00836464"/>
    <w:rsid w:val="00846305"/>
    <w:rsid w:val="00851201"/>
    <w:rsid w:val="00855486"/>
    <w:rsid w:val="008563E4"/>
    <w:rsid w:val="0086345C"/>
    <w:rsid w:val="00863577"/>
    <w:rsid w:val="00866646"/>
    <w:rsid w:val="00867797"/>
    <w:rsid w:val="00874375"/>
    <w:rsid w:val="008757F9"/>
    <w:rsid w:val="0088042D"/>
    <w:rsid w:val="00881DDB"/>
    <w:rsid w:val="00883394"/>
    <w:rsid w:val="0088552B"/>
    <w:rsid w:val="00891852"/>
    <w:rsid w:val="00893B23"/>
    <w:rsid w:val="00893D54"/>
    <w:rsid w:val="008946A1"/>
    <w:rsid w:val="008A1A02"/>
    <w:rsid w:val="008A7748"/>
    <w:rsid w:val="008B0C0B"/>
    <w:rsid w:val="008B26AC"/>
    <w:rsid w:val="008B3484"/>
    <w:rsid w:val="008B3BEF"/>
    <w:rsid w:val="008B537A"/>
    <w:rsid w:val="008B5B63"/>
    <w:rsid w:val="008B6816"/>
    <w:rsid w:val="008C354B"/>
    <w:rsid w:val="008C7113"/>
    <w:rsid w:val="008D0EBC"/>
    <w:rsid w:val="008D2E0C"/>
    <w:rsid w:val="008E2A97"/>
    <w:rsid w:val="008E32A5"/>
    <w:rsid w:val="008E4D8E"/>
    <w:rsid w:val="008F0B88"/>
    <w:rsid w:val="008F1487"/>
    <w:rsid w:val="008F2329"/>
    <w:rsid w:val="008F276A"/>
    <w:rsid w:val="008F3F6D"/>
    <w:rsid w:val="008F4D5C"/>
    <w:rsid w:val="00900BEA"/>
    <w:rsid w:val="00902536"/>
    <w:rsid w:val="00906144"/>
    <w:rsid w:val="00906E47"/>
    <w:rsid w:val="00911E7A"/>
    <w:rsid w:val="0091268C"/>
    <w:rsid w:val="00912DB6"/>
    <w:rsid w:val="00913AAF"/>
    <w:rsid w:val="00914519"/>
    <w:rsid w:val="00914FD6"/>
    <w:rsid w:val="00916F19"/>
    <w:rsid w:val="00921E80"/>
    <w:rsid w:val="00922679"/>
    <w:rsid w:val="00922B04"/>
    <w:rsid w:val="0092360C"/>
    <w:rsid w:val="009244A2"/>
    <w:rsid w:val="0092472D"/>
    <w:rsid w:val="00935C2C"/>
    <w:rsid w:val="00935EF9"/>
    <w:rsid w:val="00936F71"/>
    <w:rsid w:val="009374AB"/>
    <w:rsid w:val="00937D71"/>
    <w:rsid w:val="009417B0"/>
    <w:rsid w:val="0094521F"/>
    <w:rsid w:val="0094791C"/>
    <w:rsid w:val="0095175C"/>
    <w:rsid w:val="00952CF6"/>
    <w:rsid w:val="009617C3"/>
    <w:rsid w:val="00963585"/>
    <w:rsid w:val="00966C59"/>
    <w:rsid w:val="00967419"/>
    <w:rsid w:val="00974DE2"/>
    <w:rsid w:val="009814AB"/>
    <w:rsid w:val="0098415B"/>
    <w:rsid w:val="00987C8D"/>
    <w:rsid w:val="00990B2A"/>
    <w:rsid w:val="00992F5E"/>
    <w:rsid w:val="009952D2"/>
    <w:rsid w:val="00995872"/>
    <w:rsid w:val="009A14A6"/>
    <w:rsid w:val="009A2945"/>
    <w:rsid w:val="009A3404"/>
    <w:rsid w:val="009A5BDF"/>
    <w:rsid w:val="009B2F5E"/>
    <w:rsid w:val="009B65F1"/>
    <w:rsid w:val="009C167A"/>
    <w:rsid w:val="009C17E5"/>
    <w:rsid w:val="009C1FCB"/>
    <w:rsid w:val="009C2622"/>
    <w:rsid w:val="009C5AE9"/>
    <w:rsid w:val="009C6C82"/>
    <w:rsid w:val="009C76FA"/>
    <w:rsid w:val="009D1391"/>
    <w:rsid w:val="009D2EDF"/>
    <w:rsid w:val="009D6439"/>
    <w:rsid w:val="009D7505"/>
    <w:rsid w:val="009E2AFF"/>
    <w:rsid w:val="009E5AAB"/>
    <w:rsid w:val="009E6054"/>
    <w:rsid w:val="009E6CF5"/>
    <w:rsid w:val="009F7701"/>
    <w:rsid w:val="00A04EF3"/>
    <w:rsid w:val="00A1215C"/>
    <w:rsid w:val="00A13BC9"/>
    <w:rsid w:val="00A167A1"/>
    <w:rsid w:val="00A21137"/>
    <w:rsid w:val="00A25891"/>
    <w:rsid w:val="00A2758E"/>
    <w:rsid w:val="00A30EAB"/>
    <w:rsid w:val="00A35B59"/>
    <w:rsid w:val="00A369B9"/>
    <w:rsid w:val="00A46D87"/>
    <w:rsid w:val="00A50729"/>
    <w:rsid w:val="00A50AED"/>
    <w:rsid w:val="00A5525E"/>
    <w:rsid w:val="00A556C7"/>
    <w:rsid w:val="00A55DFB"/>
    <w:rsid w:val="00A57D4E"/>
    <w:rsid w:val="00A6376E"/>
    <w:rsid w:val="00A64078"/>
    <w:rsid w:val="00A665FC"/>
    <w:rsid w:val="00A7347E"/>
    <w:rsid w:val="00A7394F"/>
    <w:rsid w:val="00A83272"/>
    <w:rsid w:val="00A83B16"/>
    <w:rsid w:val="00A83CF7"/>
    <w:rsid w:val="00A96271"/>
    <w:rsid w:val="00A962CB"/>
    <w:rsid w:val="00AA2EF7"/>
    <w:rsid w:val="00AB1F1D"/>
    <w:rsid w:val="00AB270C"/>
    <w:rsid w:val="00AB6681"/>
    <w:rsid w:val="00AC4D6D"/>
    <w:rsid w:val="00AC6921"/>
    <w:rsid w:val="00AC7D1A"/>
    <w:rsid w:val="00AD2E95"/>
    <w:rsid w:val="00AD31E5"/>
    <w:rsid w:val="00AD5291"/>
    <w:rsid w:val="00AD6089"/>
    <w:rsid w:val="00AD7A09"/>
    <w:rsid w:val="00AE443B"/>
    <w:rsid w:val="00AE563B"/>
    <w:rsid w:val="00AF2453"/>
    <w:rsid w:val="00AF4800"/>
    <w:rsid w:val="00AF50EF"/>
    <w:rsid w:val="00AF6475"/>
    <w:rsid w:val="00B0154D"/>
    <w:rsid w:val="00B01A50"/>
    <w:rsid w:val="00B03E56"/>
    <w:rsid w:val="00B07AD7"/>
    <w:rsid w:val="00B16E0E"/>
    <w:rsid w:val="00B17D25"/>
    <w:rsid w:val="00B30F0A"/>
    <w:rsid w:val="00B3245F"/>
    <w:rsid w:val="00B33094"/>
    <w:rsid w:val="00B35F1F"/>
    <w:rsid w:val="00B4096B"/>
    <w:rsid w:val="00B41EA7"/>
    <w:rsid w:val="00B4426B"/>
    <w:rsid w:val="00B45A7B"/>
    <w:rsid w:val="00B4724E"/>
    <w:rsid w:val="00B477B6"/>
    <w:rsid w:val="00B50D67"/>
    <w:rsid w:val="00B51831"/>
    <w:rsid w:val="00B5402B"/>
    <w:rsid w:val="00B54840"/>
    <w:rsid w:val="00B614C9"/>
    <w:rsid w:val="00B625B9"/>
    <w:rsid w:val="00B6703E"/>
    <w:rsid w:val="00B72672"/>
    <w:rsid w:val="00B73CFD"/>
    <w:rsid w:val="00B751A7"/>
    <w:rsid w:val="00B77F8D"/>
    <w:rsid w:val="00B86039"/>
    <w:rsid w:val="00B9194B"/>
    <w:rsid w:val="00BA49C9"/>
    <w:rsid w:val="00BA514F"/>
    <w:rsid w:val="00BB35F5"/>
    <w:rsid w:val="00BB69BF"/>
    <w:rsid w:val="00BB6A9C"/>
    <w:rsid w:val="00BB7CF6"/>
    <w:rsid w:val="00BD0DE1"/>
    <w:rsid w:val="00BD5DDE"/>
    <w:rsid w:val="00BD62E9"/>
    <w:rsid w:val="00BE2B5B"/>
    <w:rsid w:val="00BF47CB"/>
    <w:rsid w:val="00BF58AE"/>
    <w:rsid w:val="00BF722E"/>
    <w:rsid w:val="00BF73D9"/>
    <w:rsid w:val="00C0310B"/>
    <w:rsid w:val="00C0600A"/>
    <w:rsid w:val="00C06EE2"/>
    <w:rsid w:val="00C07638"/>
    <w:rsid w:val="00C149AC"/>
    <w:rsid w:val="00C14FBB"/>
    <w:rsid w:val="00C15F5B"/>
    <w:rsid w:val="00C20EC3"/>
    <w:rsid w:val="00C21CF0"/>
    <w:rsid w:val="00C25A23"/>
    <w:rsid w:val="00C27023"/>
    <w:rsid w:val="00C43911"/>
    <w:rsid w:val="00C525FA"/>
    <w:rsid w:val="00C570EE"/>
    <w:rsid w:val="00C60C13"/>
    <w:rsid w:val="00C61907"/>
    <w:rsid w:val="00C66400"/>
    <w:rsid w:val="00C67CB2"/>
    <w:rsid w:val="00C703A2"/>
    <w:rsid w:val="00C74BB3"/>
    <w:rsid w:val="00C75711"/>
    <w:rsid w:val="00C84CE3"/>
    <w:rsid w:val="00C8730A"/>
    <w:rsid w:val="00C87E53"/>
    <w:rsid w:val="00C87FEE"/>
    <w:rsid w:val="00C902B4"/>
    <w:rsid w:val="00C923F2"/>
    <w:rsid w:val="00C93FF8"/>
    <w:rsid w:val="00CA06C4"/>
    <w:rsid w:val="00CA2A27"/>
    <w:rsid w:val="00CA3880"/>
    <w:rsid w:val="00CA5C55"/>
    <w:rsid w:val="00CB126C"/>
    <w:rsid w:val="00CC1C74"/>
    <w:rsid w:val="00CC3AC7"/>
    <w:rsid w:val="00CD462B"/>
    <w:rsid w:val="00CD632E"/>
    <w:rsid w:val="00CE4902"/>
    <w:rsid w:val="00CF1258"/>
    <w:rsid w:val="00CF2B1C"/>
    <w:rsid w:val="00CF2C2E"/>
    <w:rsid w:val="00D028CE"/>
    <w:rsid w:val="00D12A43"/>
    <w:rsid w:val="00D14E62"/>
    <w:rsid w:val="00D21C4F"/>
    <w:rsid w:val="00D22185"/>
    <w:rsid w:val="00D24FD2"/>
    <w:rsid w:val="00D26982"/>
    <w:rsid w:val="00D27B56"/>
    <w:rsid w:val="00D3119B"/>
    <w:rsid w:val="00D33A89"/>
    <w:rsid w:val="00D34579"/>
    <w:rsid w:val="00D35BC6"/>
    <w:rsid w:val="00D35DA9"/>
    <w:rsid w:val="00D40CA1"/>
    <w:rsid w:val="00D426D1"/>
    <w:rsid w:val="00D4419A"/>
    <w:rsid w:val="00D47279"/>
    <w:rsid w:val="00D475B1"/>
    <w:rsid w:val="00D53F4E"/>
    <w:rsid w:val="00D54642"/>
    <w:rsid w:val="00D5543E"/>
    <w:rsid w:val="00D62840"/>
    <w:rsid w:val="00D66698"/>
    <w:rsid w:val="00D675AC"/>
    <w:rsid w:val="00D707ED"/>
    <w:rsid w:val="00D70C59"/>
    <w:rsid w:val="00D712D8"/>
    <w:rsid w:val="00D7241B"/>
    <w:rsid w:val="00D73A4F"/>
    <w:rsid w:val="00D73F5A"/>
    <w:rsid w:val="00D81ED9"/>
    <w:rsid w:val="00D836AF"/>
    <w:rsid w:val="00D83C11"/>
    <w:rsid w:val="00D86AB4"/>
    <w:rsid w:val="00D86EB8"/>
    <w:rsid w:val="00D93037"/>
    <w:rsid w:val="00D94562"/>
    <w:rsid w:val="00DA1B8A"/>
    <w:rsid w:val="00DA1C8B"/>
    <w:rsid w:val="00DA2445"/>
    <w:rsid w:val="00DA28F7"/>
    <w:rsid w:val="00DA4AE4"/>
    <w:rsid w:val="00DC0E0B"/>
    <w:rsid w:val="00DC2BB0"/>
    <w:rsid w:val="00DC56DC"/>
    <w:rsid w:val="00DD16AE"/>
    <w:rsid w:val="00DD3179"/>
    <w:rsid w:val="00DD68AC"/>
    <w:rsid w:val="00DD6D77"/>
    <w:rsid w:val="00DE1063"/>
    <w:rsid w:val="00DE346B"/>
    <w:rsid w:val="00DE3FC7"/>
    <w:rsid w:val="00DE6B5A"/>
    <w:rsid w:val="00DE6BE5"/>
    <w:rsid w:val="00DF27A1"/>
    <w:rsid w:val="00DF6CA2"/>
    <w:rsid w:val="00E0041B"/>
    <w:rsid w:val="00E014F1"/>
    <w:rsid w:val="00E05240"/>
    <w:rsid w:val="00E10D9B"/>
    <w:rsid w:val="00E14734"/>
    <w:rsid w:val="00E229B9"/>
    <w:rsid w:val="00E23868"/>
    <w:rsid w:val="00E239ED"/>
    <w:rsid w:val="00E2469C"/>
    <w:rsid w:val="00E247AB"/>
    <w:rsid w:val="00E2520C"/>
    <w:rsid w:val="00E260F9"/>
    <w:rsid w:val="00E26505"/>
    <w:rsid w:val="00E30996"/>
    <w:rsid w:val="00E334BD"/>
    <w:rsid w:val="00E33A88"/>
    <w:rsid w:val="00E33D14"/>
    <w:rsid w:val="00E373F4"/>
    <w:rsid w:val="00E4647C"/>
    <w:rsid w:val="00E46C04"/>
    <w:rsid w:val="00E50578"/>
    <w:rsid w:val="00E53030"/>
    <w:rsid w:val="00E551CE"/>
    <w:rsid w:val="00E64A49"/>
    <w:rsid w:val="00E67A3C"/>
    <w:rsid w:val="00E729F1"/>
    <w:rsid w:val="00E74082"/>
    <w:rsid w:val="00E74C09"/>
    <w:rsid w:val="00E75D34"/>
    <w:rsid w:val="00E77202"/>
    <w:rsid w:val="00E848AE"/>
    <w:rsid w:val="00E86D1E"/>
    <w:rsid w:val="00E8779E"/>
    <w:rsid w:val="00E96F2B"/>
    <w:rsid w:val="00EC69D4"/>
    <w:rsid w:val="00ED06E4"/>
    <w:rsid w:val="00ED1765"/>
    <w:rsid w:val="00ED38F0"/>
    <w:rsid w:val="00ED3E1C"/>
    <w:rsid w:val="00ED7A06"/>
    <w:rsid w:val="00EE1CDB"/>
    <w:rsid w:val="00EE1D5C"/>
    <w:rsid w:val="00EE36A6"/>
    <w:rsid w:val="00EE7888"/>
    <w:rsid w:val="00EF1161"/>
    <w:rsid w:val="00EF7355"/>
    <w:rsid w:val="00F00DA3"/>
    <w:rsid w:val="00F026CD"/>
    <w:rsid w:val="00F05B3E"/>
    <w:rsid w:val="00F074C9"/>
    <w:rsid w:val="00F079EB"/>
    <w:rsid w:val="00F10D63"/>
    <w:rsid w:val="00F11CCD"/>
    <w:rsid w:val="00F15B9D"/>
    <w:rsid w:val="00F161C1"/>
    <w:rsid w:val="00F22739"/>
    <w:rsid w:val="00F22D26"/>
    <w:rsid w:val="00F2405D"/>
    <w:rsid w:val="00F245DA"/>
    <w:rsid w:val="00F320D1"/>
    <w:rsid w:val="00F3295D"/>
    <w:rsid w:val="00F37473"/>
    <w:rsid w:val="00F47964"/>
    <w:rsid w:val="00F54398"/>
    <w:rsid w:val="00F5715D"/>
    <w:rsid w:val="00F60355"/>
    <w:rsid w:val="00F63988"/>
    <w:rsid w:val="00F650D2"/>
    <w:rsid w:val="00F66548"/>
    <w:rsid w:val="00F75DE2"/>
    <w:rsid w:val="00F7635F"/>
    <w:rsid w:val="00F8208E"/>
    <w:rsid w:val="00F82DFD"/>
    <w:rsid w:val="00F84706"/>
    <w:rsid w:val="00F92F5E"/>
    <w:rsid w:val="00F936CF"/>
    <w:rsid w:val="00F93943"/>
    <w:rsid w:val="00F93E03"/>
    <w:rsid w:val="00FA1993"/>
    <w:rsid w:val="00FA30D4"/>
    <w:rsid w:val="00FA3729"/>
    <w:rsid w:val="00FA37EA"/>
    <w:rsid w:val="00FA5E41"/>
    <w:rsid w:val="00FA76D6"/>
    <w:rsid w:val="00FB01B3"/>
    <w:rsid w:val="00FC178F"/>
    <w:rsid w:val="00FC3506"/>
    <w:rsid w:val="00FC7572"/>
    <w:rsid w:val="00FC7C38"/>
    <w:rsid w:val="00FD497B"/>
    <w:rsid w:val="00FD566F"/>
    <w:rsid w:val="00FE0030"/>
    <w:rsid w:val="00FF6D0D"/>
    <w:rsid w:val="00FF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BEB8"/>
  <w15:docId w15:val="{DE5C279C-3103-431D-8DDE-61378473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DA1B8A"/>
    <w:rPr>
      <w:lang w:val="nb-NO"/>
    </w:rPr>
  </w:style>
  <w:style w:type="paragraph" w:styleId="Overskrift1">
    <w:name w:val="heading 1"/>
    <w:basedOn w:val="Normal"/>
    <w:next w:val="Normal"/>
    <w:link w:val="Overskrift1Tegn"/>
    <w:uiPriority w:val="9"/>
    <w:qFormat/>
    <w:rsid w:val="008A77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Fargeriklisteuthevingsfarge5">
    <w:name w:val="Colorful List Accent 5"/>
    <w:basedOn w:val="Vanligtabell"/>
    <w:uiPriority w:val="72"/>
    <w:rsid w:val="0013373C"/>
    <w:pPr>
      <w:spacing w:after="0" w:line="240" w:lineRule="auto"/>
    </w:pPr>
    <w:rPr>
      <w:color w:val="000000" w:themeColor="text1"/>
      <w:lang w:val="nb-NO"/>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6E3176"/>
    <w:pPr>
      <w:ind w:left="720"/>
      <w:contextualSpacing/>
    </w:pPr>
  </w:style>
  <w:style w:type="table" w:styleId="Fargeriklisteuthevingsfarge6">
    <w:name w:val="Colorful List Accent 6"/>
    <w:basedOn w:val="Vanligtabell"/>
    <w:uiPriority w:val="72"/>
    <w:rsid w:val="003D62EB"/>
    <w:pPr>
      <w:spacing w:after="0" w:line="240" w:lineRule="auto"/>
    </w:pPr>
    <w:rPr>
      <w:color w:val="000000" w:themeColor="text1"/>
      <w:lang w:val="nb-NO"/>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B8603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86039"/>
    <w:rPr>
      <w:b/>
      <w:bCs/>
    </w:rPr>
  </w:style>
  <w:style w:type="character" w:styleId="Hyperkobling">
    <w:name w:val="Hyperlink"/>
    <w:basedOn w:val="Standardskriftforavsnitt"/>
    <w:uiPriority w:val="99"/>
    <w:unhideWhenUsed/>
    <w:rsid w:val="00AF6475"/>
    <w:rPr>
      <w:color w:val="0563C1" w:themeColor="hyperlink"/>
      <w:u w:val="single"/>
    </w:rPr>
  </w:style>
  <w:style w:type="paragraph" w:styleId="Fotnotetekst">
    <w:name w:val="footnote text"/>
    <w:basedOn w:val="Normal"/>
    <w:link w:val="FotnotetekstTegn"/>
    <w:uiPriority w:val="99"/>
    <w:semiHidden/>
    <w:unhideWhenUsed/>
    <w:rsid w:val="003A7FF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7FF6"/>
    <w:rPr>
      <w:sz w:val="20"/>
      <w:szCs w:val="20"/>
      <w:lang w:val="nb-NO"/>
    </w:rPr>
  </w:style>
  <w:style w:type="character" w:styleId="Fotnotereferanse">
    <w:name w:val="footnote reference"/>
    <w:basedOn w:val="Standardskriftforavsnitt"/>
    <w:uiPriority w:val="99"/>
    <w:semiHidden/>
    <w:unhideWhenUsed/>
    <w:rsid w:val="003A7FF6"/>
    <w:rPr>
      <w:vertAlign w:val="superscript"/>
    </w:rPr>
  </w:style>
  <w:style w:type="character" w:styleId="Fulgthyperkobling">
    <w:name w:val="FollowedHyperlink"/>
    <w:basedOn w:val="Standardskriftforavsnitt"/>
    <w:uiPriority w:val="99"/>
    <w:semiHidden/>
    <w:unhideWhenUsed/>
    <w:rsid w:val="00B477B6"/>
    <w:rPr>
      <w:color w:val="954F72" w:themeColor="followedHyperlink"/>
      <w:u w:val="single"/>
    </w:rPr>
  </w:style>
  <w:style w:type="table" w:styleId="Middelsskyggelegging1uthevingsfarge6">
    <w:name w:val="Medium Shading 1 Accent 6"/>
    <w:basedOn w:val="Vanligtabell"/>
    <w:uiPriority w:val="63"/>
    <w:rsid w:val="00D35BC6"/>
    <w:pPr>
      <w:spacing w:after="0" w:line="240" w:lineRule="auto"/>
    </w:pPr>
    <w:rPr>
      <w:lang w:val="nb-NO"/>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Bobletekst">
    <w:name w:val="Balloon Text"/>
    <w:basedOn w:val="Normal"/>
    <w:link w:val="BobletekstTegn"/>
    <w:uiPriority w:val="99"/>
    <w:semiHidden/>
    <w:unhideWhenUsed/>
    <w:rsid w:val="002D37D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37D1"/>
    <w:rPr>
      <w:rFonts w:ascii="Tahoma" w:hAnsi="Tahoma" w:cs="Tahoma"/>
      <w:sz w:val="16"/>
      <w:szCs w:val="16"/>
      <w:lang w:val="nb-NO"/>
    </w:rPr>
  </w:style>
  <w:style w:type="character" w:styleId="Utheving">
    <w:name w:val="Emphasis"/>
    <w:basedOn w:val="Standardskriftforavsnitt"/>
    <w:uiPriority w:val="20"/>
    <w:qFormat/>
    <w:rsid w:val="00E2469C"/>
    <w:rPr>
      <w:i/>
      <w:iCs/>
    </w:rPr>
  </w:style>
  <w:style w:type="character" w:customStyle="1" w:styleId="Overskrift1Tegn">
    <w:name w:val="Overskrift 1 Tegn"/>
    <w:basedOn w:val="Standardskriftforavsnitt"/>
    <w:link w:val="Overskrift1"/>
    <w:uiPriority w:val="9"/>
    <w:rsid w:val="008A7748"/>
    <w:rPr>
      <w:rFonts w:asciiTheme="majorHAnsi" w:eastAsiaTheme="majorEastAsia" w:hAnsiTheme="majorHAnsi" w:cstheme="majorBidi"/>
      <w:color w:val="2E74B5" w:themeColor="accent1" w:themeShade="BF"/>
      <w:sz w:val="32"/>
      <w:szCs w:val="32"/>
      <w:lang w:val="nb-NO"/>
    </w:rPr>
  </w:style>
  <w:style w:type="paragraph" w:styleId="Ingenmellomrom">
    <w:name w:val="No Spacing"/>
    <w:uiPriority w:val="1"/>
    <w:qFormat/>
    <w:rsid w:val="00DA28F7"/>
    <w:pPr>
      <w:spacing w:after="0" w:line="240" w:lineRule="auto"/>
    </w:pPr>
    <w:rPr>
      <w:lang w:val="nb-NO"/>
    </w:rPr>
  </w:style>
  <w:style w:type="character" w:styleId="Omtale">
    <w:name w:val="Mention"/>
    <w:basedOn w:val="Standardskriftforavsnitt"/>
    <w:uiPriority w:val="99"/>
    <w:semiHidden/>
    <w:unhideWhenUsed/>
    <w:rsid w:val="0028180A"/>
    <w:rPr>
      <w:color w:val="2B579A"/>
      <w:shd w:val="clear" w:color="auto" w:fill="E6E6E6"/>
    </w:rPr>
  </w:style>
  <w:style w:type="character" w:styleId="Ulstomtale">
    <w:name w:val="Unresolved Mention"/>
    <w:basedOn w:val="Standardskriftforavsnitt"/>
    <w:uiPriority w:val="99"/>
    <w:semiHidden/>
    <w:unhideWhenUsed/>
    <w:rsid w:val="00FC7C38"/>
    <w:rPr>
      <w:color w:val="808080"/>
      <w:shd w:val="clear" w:color="auto" w:fill="E6E6E6"/>
    </w:rPr>
  </w:style>
  <w:style w:type="paragraph" w:styleId="Topptekst">
    <w:name w:val="header"/>
    <w:basedOn w:val="Normal"/>
    <w:link w:val="TopptekstTegn"/>
    <w:uiPriority w:val="99"/>
    <w:semiHidden/>
    <w:unhideWhenUsed/>
    <w:rsid w:val="00B3245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B3245F"/>
    <w:rPr>
      <w:lang w:val="nb-NO"/>
    </w:rPr>
  </w:style>
  <w:style w:type="paragraph" w:styleId="Bunntekst">
    <w:name w:val="footer"/>
    <w:basedOn w:val="Normal"/>
    <w:link w:val="BunntekstTegn"/>
    <w:uiPriority w:val="99"/>
    <w:semiHidden/>
    <w:unhideWhenUsed/>
    <w:rsid w:val="00B3245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B3245F"/>
    <w:rPr>
      <w:lang w:val="nb-NO"/>
    </w:rPr>
  </w:style>
  <w:style w:type="character" w:styleId="Merknadsreferanse">
    <w:name w:val="annotation reference"/>
    <w:basedOn w:val="Standardskriftforavsnitt"/>
    <w:uiPriority w:val="99"/>
    <w:semiHidden/>
    <w:unhideWhenUsed/>
    <w:rsid w:val="003C3F85"/>
    <w:rPr>
      <w:sz w:val="16"/>
      <w:szCs w:val="16"/>
    </w:rPr>
  </w:style>
  <w:style w:type="paragraph" w:styleId="Merknadstekst">
    <w:name w:val="annotation text"/>
    <w:basedOn w:val="Normal"/>
    <w:link w:val="MerknadstekstTegn"/>
    <w:uiPriority w:val="99"/>
    <w:semiHidden/>
    <w:unhideWhenUsed/>
    <w:rsid w:val="003C3F8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C3F85"/>
    <w:rPr>
      <w:sz w:val="20"/>
      <w:szCs w:val="20"/>
      <w:lang w:val="nb-NO"/>
    </w:rPr>
  </w:style>
  <w:style w:type="paragraph" w:styleId="Kommentaremne">
    <w:name w:val="annotation subject"/>
    <w:basedOn w:val="Merknadstekst"/>
    <w:next w:val="Merknadstekst"/>
    <w:link w:val="KommentaremneTegn"/>
    <w:uiPriority w:val="99"/>
    <w:semiHidden/>
    <w:unhideWhenUsed/>
    <w:rsid w:val="003C3F85"/>
    <w:rPr>
      <w:b/>
      <w:bCs/>
    </w:rPr>
  </w:style>
  <w:style w:type="character" w:customStyle="1" w:styleId="KommentaremneTegn">
    <w:name w:val="Kommentaremne Tegn"/>
    <w:basedOn w:val="MerknadstekstTegn"/>
    <w:link w:val="Kommentaremne"/>
    <w:uiPriority w:val="99"/>
    <w:semiHidden/>
    <w:rsid w:val="003C3F85"/>
    <w:rPr>
      <w:b/>
      <w:b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747019">
      <w:bodyDiv w:val="1"/>
      <w:marLeft w:val="0"/>
      <w:marRight w:val="0"/>
      <w:marTop w:val="0"/>
      <w:marBottom w:val="0"/>
      <w:divBdr>
        <w:top w:val="none" w:sz="0" w:space="0" w:color="auto"/>
        <w:left w:val="none" w:sz="0" w:space="0" w:color="auto"/>
        <w:bottom w:val="none" w:sz="0" w:space="0" w:color="auto"/>
        <w:right w:val="none" w:sz="0" w:space="0" w:color="auto"/>
      </w:divBdr>
    </w:div>
    <w:div w:id="439909735">
      <w:bodyDiv w:val="1"/>
      <w:marLeft w:val="0"/>
      <w:marRight w:val="0"/>
      <w:marTop w:val="0"/>
      <w:marBottom w:val="0"/>
      <w:divBdr>
        <w:top w:val="none" w:sz="0" w:space="0" w:color="auto"/>
        <w:left w:val="none" w:sz="0" w:space="0" w:color="auto"/>
        <w:bottom w:val="none" w:sz="0" w:space="0" w:color="auto"/>
        <w:right w:val="none" w:sz="0" w:space="0" w:color="auto"/>
      </w:divBdr>
    </w:div>
    <w:div w:id="523784908">
      <w:bodyDiv w:val="1"/>
      <w:marLeft w:val="0"/>
      <w:marRight w:val="0"/>
      <w:marTop w:val="0"/>
      <w:marBottom w:val="0"/>
      <w:divBdr>
        <w:top w:val="none" w:sz="0" w:space="0" w:color="auto"/>
        <w:left w:val="none" w:sz="0" w:space="0" w:color="auto"/>
        <w:bottom w:val="none" w:sz="0" w:space="0" w:color="auto"/>
        <w:right w:val="none" w:sz="0" w:space="0" w:color="auto"/>
      </w:divBdr>
    </w:div>
    <w:div w:id="571738732">
      <w:bodyDiv w:val="1"/>
      <w:marLeft w:val="0"/>
      <w:marRight w:val="0"/>
      <w:marTop w:val="0"/>
      <w:marBottom w:val="0"/>
      <w:divBdr>
        <w:top w:val="none" w:sz="0" w:space="0" w:color="auto"/>
        <w:left w:val="none" w:sz="0" w:space="0" w:color="auto"/>
        <w:bottom w:val="none" w:sz="0" w:space="0" w:color="auto"/>
        <w:right w:val="none" w:sz="0" w:space="0" w:color="auto"/>
      </w:divBdr>
    </w:div>
    <w:div w:id="972906921">
      <w:bodyDiv w:val="1"/>
      <w:marLeft w:val="0"/>
      <w:marRight w:val="0"/>
      <w:marTop w:val="0"/>
      <w:marBottom w:val="0"/>
      <w:divBdr>
        <w:top w:val="none" w:sz="0" w:space="0" w:color="auto"/>
        <w:left w:val="none" w:sz="0" w:space="0" w:color="auto"/>
        <w:bottom w:val="none" w:sz="0" w:space="0" w:color="auto"/>
        <w:right w:val="none" w:sz="0" w:space="0" w:color="auto"/>
      </w:divBdr>
    </w:div>
    <w:div w:id="1009715356">
      <w:bodyDiv w:val="1"/>
      <w:marLeft w:val="0"/>
      <w:marRight w:val="0"/>
      <w:marTop w:val="0"/>
      <w:marBottom w:val="0"/>
      <w:divBdr>
        <w:top w:val="none" w:sz="0" w:space="0" w:color="auto"/>
        <w:left w:val="none" w:sz="0" w:space="0" w:color="auto"/>
        <w:bottom w:val="none" w:sz="0" w:space="0" w:color="auto"/>
        <w:right w:val="none" w:sz="0" w:space="0" w:color="auto"/>
      </w:divBdr>
    </w:div>
    <w:div w:id="1016619844">
      <w:bodyDiv w:val="1"/>
      <w:marLeft w:val="0"/>
      <w:marRight w:val="0"/>
      <w:marTop w:val="0"/>
      <w:marBottom w:val="0"/>
      <w:divBdr>
        <w:top w:val="none" w:sz="0" w:space="0" w:color="auto"/>
        <w:left w:val="none" w:sz="0" w:space="0" w:color="auto"/>
        <w:bottom w:val="none" w:sz="0" w:space="0" w:color="auto"/>
        <w:right w:val="none" w:sz="0" w:space="0" w:color="auto"/>
      </w:divBdr>
    </w:div>
    <w:div w:id="1549956151">
      <w:bodyDiv w:val="1"/>
      <w:marLeft w:val="0"/>
      <w:marRight w:val="0"/>
      <w:marTop w:val="0"/>
      <w:marBottom w:val="0"/>
      <w:divBdr>
        <w:top w:val="none" w:sz="0" w:space="0" w:color="auto"/>
        <w:left w:val="none" w:sz="0" w:space="0" w:color="auto"/>
        <w:bottom w:val="none" w:sz="0" w:space="0" w:color="auto"/>
        <w:right w:val="none" w:sz="0" w:space="0" w:color="auto"/>
      </w:divBdr>
    </w:div>
    <w:div w:id="1577126525">
      <w:bodyDiv w:val="1"/>
      <w:marLeft w:val="0"/>
      <w:marRight w:val="0"/>
      <w:marTop w:val="0"/>
      <w:marBottom w:val="0"/>
      <w:divBdr>
        <w:top w:val="none" w:sz="0" w:space="0" w:color="auto"/>
        <w:left w:val="none" w:sz="0" w:space="0" w:color="auto"/>
        <w:bottom w:val="none" w:sz="0" w:space="0" w:color="auto"/>
        <w:right w:val="none" w:sz="0" w:space="0" w:color="auto"/>
      </w:divBdr>
    </w:div>
    <w:div w:id="1731223270">
      <w:bodyDiv w:val="1"/>
      <w:marLeft w:val="0"/>
      <w:marRight w:val="0"/>
      <w:marTop w:val="0"/>
      <w:marBottom w:val="0"/>
      <w:divBdr>
        <w:top w:val="none" w:sz="0" w:space="0" w:color="auto"/>
        <w:left w:val="none" w:sz="0" w:space="0" w:color="auto"/>
        <w:bottom w:val="none" w:sz="0" w:space="0" w:color="auto"/>
        <w:right w:val="none" w:sz="0" w:space="0" w:color="auto"/>
      </w:divBdr>
    </w:div>
    <w:div w:id="1921479060">
      <w:bodyDiv w:val="1"/>
      <w:marLeft w:val="0"/>
      <w:marRight w:val="0"/>
      <w:marTop w:val="0"/>
      <w:marBottom w:val="0"/>
      <w:divBdr>
        <w:top w:val="none" w:sz="0" w:space="0" w:color="auto"/>
        <w:left w:val="none" w:sz="0" w:space="0" w:color="auto"/>
        <w:bottom w:val="none" w:sz="0" w:space="0" w:color="auto"/>
        <w:right w:val="none" w:sz="0" w:space="0" w:color="auto"/>
      </w:divBdr>
      <w:divsChild>
        <w:div w:id="1052776306">
          <w:marLeft w:val="0"/>
          <w:marRight w:val="0"/>
          <w:marTop w:val="0"/>
          <w:marBottom w:val="0"/>
          <w:divBdr>
            <w:top w:val="none" w:sz="0" w:space="0" w:color="auto"/>
            <w:left w:val="none" w:sz="0" w:space="0" w:color="auto"/>
            <w:bottom w:val="none" w:sz="0" w:space="0" w:color="auto"/>
            <w:right w:val="none" w:sz="0" w:space="0" w:color="auto"/>
          </w:divBdr>
          <w:divsChild>
            <w:div w:id="367995982">
              <w:marLeft w:val="0"/>
              <w:marRight w:val="0"/>
              <w:marTop w:val="0"/>
              <w:marBottom w:val="7590"/>
              <w:divBdr>
                <w:top w:val="none" w:sz="0" w:space="0" w:color="auto"/>
                <w:left w:val="none" w:sz="0" w:space="0" w:color="auto"/>
                <w:bottom w:val="none" w:sz="0" w:space="0" w:color="auto"/>
                <w:right w:val="none" w:sz="0" w:space="0" w:color="auto"/>
              </w:divBdr>
              <w:divsChild>
                <w:div w:id="860857">
                  <w:marLeft w:val="0"/>
                  <w:marRight w:val="0"/>
                  <w:marTop w:val="0"/>
                  <w:marBottom w:val="0"/>
                  <w:divBdr>
                    <w:top w:val="none" w:sz="0" w:space="0" w:color="auto"/>
                    <w:left w:val="none" w:sz="0" w:space="0" w:color="auto"/>
                    <w:bottom w:val="none" w:sz="0" w:space="0" w:color="auto"/>
                    <w:right w:val="none" w:sz="0" w:space="0" w:color="auto"/>
                  </w:divBdr>
                  <w:divsChild>
                    <w:div w:id="120072105">
                      <w:marLeft w:val="0"/>
                      <w:marRight w:val="0"/>
                      <w:marTop w:val="675"/>
                      <w:marBottom w:val="750"/>
                      <w:divBdr>
                        <w:top w:val="none" w:sz="0" w:space="0" w:color="auto"/>
                        <w:left w:val="none" w:sz="0" w:space="0" w:color="auto"/>
                        <w:bottom w:val="none" w:sz="0" w:space="0" w:color="auto"/>
                        <w:right w:val="none" w:sz="0" w:space="0" w:color="auto"/>
                      </w:divBdr>
                    </w:div>
                  </w:divsChild>
                </w:div>
              </w:divsChild>
            </w:div>
          </w:divsChild>
        </w:div>
      </w:divsChild>
    </w:div>
    <w:div w:id="21315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ed.no/NR-dokumentasjon/Rapporter-og-veiledere/Slik-faar-du-til-minnelig-ordning" TargetMode="External"/><Relationship Id="rId18" Type="http://schemas.openxmlformats.org/officeDocument/2006/relationships/hyperlink" Target="https://presse.no/pfu-nyhet/her-er-de-nye-endringene-i-vaer-varsom-plakaten/" TargetMode="External"/><Relationship Id="rId26" Type="http://schemas.openxmlformats.org/officeDocument/2006/relationships/hyperlink" Target="https://presse.no/pfu-sak/080-19/" TargetMode="External"/><Relationship Id="rId39" Type="http://schemas.openxmlformats.org/officeDocument/2006/relationships/hyperlink" Target="https://presse.no/pfu-sak/sak-116-20/" TargetMode="External"/><Relationship Id="rId21" Type="http://schemas.openxmlformats.org/officeDocument/2006/relationships/chart" Target="charts/chart2.xml"/><Relationship Id="rId34" Type="http://schemas.openxmlformats.org/officeDocument/2006/relationships/hyperlink" Target="https://presse.no/pfu-sak/254-18/" TargetMode="External"/><Relationship Id="rId42" Type="http://schemas.openxmlformats.org/officeDocument/2006/relationships/hyperlink" Target="https://presse.no/pfu-sak/092-20/" TargetMode="External"/><Relationship Id="rId47" Type="http://schemas.openxmlformats.org/officeDocument/2006/relationships/hyperlink" Target="https://presse.no/pfu-sak/045-20/" TargetMode="External"/><Relationship Id="rId50" Type="http://schemas.openxmlformats.org/officeDocument/2006/relationships/hyperlink" Target="https://presse.no/pfu-sak/018-20/" TargetMode="External"/><Relationship Id="rId55" Type="http://schemas.openxmlformats.org/officeDocument/2006/relationships/hyperlink" Target="https://presse.no/pfu-sak/217-1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esse.no/pfu-sak/162-20/" TargetMode="External"/><Relationship Id="rId29" Type="http://schemas.openxmlformats.org/officeDocument/2006/relationships/hyperlink" Target="https://presse.no/pfu-sak/034-19/" TargetMode="External"/><Relationship Id="rId11" Type="http://schemas.openxmlformats.org/officeDocument/2006/relationships/hyperlink" Target="http://www.presse.no" TargetMode="External"/><Relationship Id="rId24" Type="http://schemas.openxmlformats.org/officeDocument/2006/relationships/hyperlink" Target="https://presse.no/pfu-sak/086-19/" TargetMode="External"/><Relationship Id="rId32" Type="http://schemas.openxmlformats.org/officeDocument/2006/relationships/hyperlink" Target="https://presse.no/pfu-sak/274-18/" TargetMode="External"/><Relationship Id="rId37" Type="http://schemas.openxmlformats.org/officeDocument/2006/relationships/hyperlink" Target="https://presse.no/pfu-sak/sak-147-20/" TargetMode="External"/><Relationship Id="rId40" Type="http://schemas.openxmlformats.org/officeDocument/2006/relationships/hyperlink" Target="https://presse.no/pfu-sak/111-20/" TargetMode="External"/><Relationship Id="rId45" Type="http://schemas.openxmlformats.org/officeDocument/2006/relationships/hyperlink" Target="https://presse.no/pfu-sak/070-20/" TargetMode="External"/><Relationship Id="rId53" Type="http://schemas.openxmlformats.org/officeDocument/2006/relationships/hyperlink" Target="https://presse.no/pfu-sak/221-19/" TargetMode="External"/><Relationship Id="rId58" Type="http://schemas.openxmlformats.org/officeDocument/2006/relationships/hyperlink" Target="https://presse.no/pfu-sak/153-19/"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nored.no/NR-dokumentasjon/Rapporter-og-veiledere/Slik-skiller-du-journalistikk-og-reklame" TargetMode="External"/><Relationship Id="rId14" Type="http://schemas.openxmlformats.org/officeDocument/2006/relationships/hyperlink" Target="https://www.nored.no/Redaktoernyheter/Lynkurs-i-kunsten-aa-si-unnskyld" TargetMode="External"/><Relationship Id="rId22" Type="http://schemas.openxmlformats.org/officeDocument/2006/relationships/hyperlink" Target="https://www.nored.no/Redaktoernyheter/Her-er-NR-styrets-endelige-forslag-til-handlingsplan" TargetMode="External"/><Relationship Id="rId27" Type="http://schemas.openxmlformats.org/officeDocument/2006/relationships/hyperlink" Target="https://presse.no/pfu-sak/080-19/" TargetMode="External"/><Relationship Id="rId30" Type="http://schemas.openxmlformats.org/officeDocument/2006/relationships/hyperlink" Target="https://presse.no/pfu-sak/022-19/" TargetMode="External"/><Relationship Id="rId35" Type="http://schemas.openxmlformats.org/officeDocument/2006/relationships/hyperlink" Target="https://presse.no/pfu-sak/253-18/" TargetMode="External"/><Relationship Id="rId43" Type="http://schemas.openxmlformats.org/officeDocument/2006/relationships/hyperlink" Target="https://presse.no/pfu-sak/076-20/" TargetMode="External"/><Relationship Id="rId48" Type="http://schemas.openxmlformats.org/officeDocument/2006/relationships/hyperlink" Target="https://presse.no/pfu-sak/035-20/" TargetMode="External"/><Relationship Id="rId56" Type="http://schemas.openxmlformats.org/officeDocument/2006/relationships/hyperlink" Target="https://presse.no/pfu-sak/172-19/" TargetMode="External"/><Relationship Id="rId8" Type="http://schemas.openxmlformats.org/officeDocument/2006/relationships/webSettings" Target="webSettings.xml"/><Relationship Id="rId51" Type="http://schemas.openxmlformats.org/officeDocument/2006/relationships/hyperlink" Target="https://presse.no/pfu-sak/007-20/" TargetMode="Externa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hyperlink" Target="https://presse.no/pfu-sak/099-19/" TargetMode="External"/><Relationship Id="rId25" Type="http://schemas.openxmlformats.org/officeDocument/2006/relationships/hyperlink" Target="https://presse.no/pfu-sak/083-19/" TargetMode="External"/><Relationship Id="rId33" Type="http://schemas.openxmlformats.org/officeDocument/2006/relationships/hyperlink" Target="https://presse.no/pfu-sak/273-18/" TargetMode="External"/><Relationship Id="rId38" Type="http://schemas.openxmlformats.org/officeDocument/2006/relationships/hyperlink" Target="https://presse.no/pfu-sak/137-20/" TargetMode="External"/><Relationship Id="rId46" Type="http://schemas.openxmlformats.org/officeDocument/2006/relationships/hyperlink" Target="https://presse.no/pfu-sak/047-20/" TargetMode="External"/><Relationship Id="rId59" Type="http://schemas.openxmlformats.org/officeDocument/2006/relationships/hyperlink" Target="https://presse.no/pfu-sak/030-2019/" TargetMode="External"/><Relationship Id="rId20" Type="http://schemas.openxmlformats.org/officeDocument/2006/relationships/hyperlink" Target="https://www.nored.no/Redaktoernyheter/Hotline-episode-7-Identifiseringen-av-Gaarder" TargetMode="External"/><Relationship Id="rId41" Type="http://schemas.openxmlformats.org/officeDocument/2006/relationships/hyperlink" Target="https://presse.no/pfu-sak/099-20/" TargetMode="External"/><Relationship Id="rId54" Type="http://schemas.openxmlformats.org/officeDocument/2006/relationships/hyperlink" Target="https://presse.no/pfu-sak/218-1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resse.no" TargetMode="External"/><Relationship Id="rId23" Type="http://schemas.openxmlformats.org/officeDocument/2006/relationships/hyperlink" Target="https://presse.no/pfu-sak/094-19/" TargetMode="External"/><Relationship Id="rId28" Type="http://schemas.openxmlformats.org/officeDocument/2006/relationships/hyperlink" Target="https://presse.no/pfu-sak/039-19/" TargetMode="External"/><Relationship Id="rId36" Type="http://schemas.openxmlformats.org/officeDocument/2006/relationships/hyperlink" Target="https://presse.no/pfu-sak/151-20/" TargetMode="External"/><Relationship Id="rId49" Type="http://schemas.openxmlformats.org/officeDocument/2006/relationships/hyperlink" Target="https://presse.no/pfu-sak/sak-032-20/" TargetMode="External"/><Relationship Id="rId57" Type="http://schemas.openxmlformats.org/officeDocument/2006/relationships/hyperlink" Target="https://presse.no/pfu-sak/157-19-ab/" TargetMode="External"/><Relationship Id="rId10" Type="http://schemas.openxmlformats.org/officeDocument/2006/relationships/endnotes" Target="endnotes.xml"/><Relationship Id="rId31" Type="http://schemas.openxmlformats.org/officeDocument/2006/relationships/hyperlink" Target="https://presse.no/pfu-sak/021-19/" TargetMode="External"/><Relationship Id="rId44" Type="http://schemas.openxmlformats.org/officeDocument/2006/relationships/hyperlink" Target="https://presse.no/pfu-sak/074-20/" TargetMode="External"/><Relationship Id="rId52" Type="http://schemas.openxmlformats.org/officeDocument/2006/relationships/hyperlink" Target="https://presse.no/pfu-sak/250-19/"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presse.no/pfu-sak/235-237-1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strRef>
              <c:f>'Ark1'!$B$1</c:f>
              <c:strCache>
                <c:ptCount val="1"/>
                <c:pt idx="0">
                  <c:v>2009-2020</c:v>
                </c:pt>
              </c:strCache>
            </c:strRef>
          </c:tx>
          <c:spPr>
            <a:ln w="28575" cap="rnd">
              <a:solidFill>
                <a:schemeClr val="accent1"/>
              </a:solidFill>
              <a:round/>
            </a:ln>
            <a:effectLst/>
          </c:spPr>
          <c:marker>
            <c:symbol val="none"/>
          </c:marker>
          <c:cat>
            <c:strRef>
              <c:f>'Ark1'!$A$2:$A$13</c:f>
              <c:strCache>
                <c:ptCount val="1"/>
                <c:pt idx="0">
                  <c:v>Andel "kritikk"</c:v>
                </c:pt>
              </c:strCache>
            </c:strRef>
          </c:cat>
          <c:val>
            <c:numRef>
              <c:f>'Ark1'!$B$2:$B$13</c:f>
              <c:numCache>
                <c:formatCode>General</c:formatCode>
                <c:ptCount val="12"/>
                <c:pt idx="0">
                  <c:v>16</c:v>
                </c:pt>
                <c:pt idx="1">
                  <c:v>20</c:v>
                </c:pt>
                <c:pt idx="2">
                  <c:v>15</c:v>
                </c:pt>
                <c:pt idx="3">
                  <c:v>13</c:v>
                </c:pt>
                <c:pt idx="4">
                  <c:v>11</c:v>
                </c:pt>
                <c:pt idx="5">
                  <c:v>13</c:v>
                </c:pt>
                <c:pt idx="6">
                  <c:v>21</c:v>
                </c:pt>
                <c:pt idx="7">
                  <c:v>25</c:v>
                </c:pt>
                <c:pt idx="8">
                  <c:v>26</c:v>
                </c:pt>
                <c:pt idx="9">
                  <c:v>34</c:v>
                </c:pt>
                <c:pt idx="10">
                  <c:v>27</c:v>
                </c:pt>
                <c:pt idx="11">
                  <c:v>35</c:v>
                </c:pt>
              </c:numCache>
            </c:numRef>
          </c:val>
          <c:smooth val="0"/>
          <c:extLst>
            <c:ext xmlns:c16="http://schemas.microsoft.com/office/drawing/2014/chart" uri="{C3380CC4-5D6E-409C-BE32-E72D297353CC}">
              <c16:uniqueId val="{00000000-DB62-4238-BC3E-30DD97A922A9}"/>
            </c:ext>
          </c:extLst>
        </c:ser>
        <c:dLbls>
          <c:showLegendKey val="0"/>
          <c:showVal val="0"/>
          <c:showCatName val="0"/>
          <c:showSerName val="0"/>
          <c:showPercent val="0"/>
          <c:showBubbleSize val="0"/>
        </c:dLbls>
        <c:smooth val="0"/>
        <c:axId val="691139520"/>
        <c:axId val="691136896"/>
      </c:lineChart>
      <c:catAx>
        <c:axId val="69113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691136896"/>
        <c:crosses val="autoZero"/>
        <c:auto val="1"/>
        <c:lblAlgn val="ctr"/>
        <c:lblOffset val="100"/>
        <c:noMultiLvlLbl val="0"/>
      </c:catAx>
      <c:valAx>
        <c:axId val="69113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69113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nb-NO" dirty="0"/>
              <a:t>Klager og</a:t>
            </a:r>
            <a:r>
              <a:rPr lang="nb-NO" baseline="0" dirty="0"/>
              <a:t> fellelser etter 4.14 - 2013-2018</a:t>
            </a:r>
            <a:endParaRPr lang="nb-NO" dirty="0"/>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Sheet1!$B$1</c:f>
              <c:strCache>
                <c:ptCount val="1"/>
                <c:pt idx="0">
                  <c:v>Klager</c:v>
                </c:pt>
              </c:strCache>
            </c:strRef>
          </c:tx>
          <c:spPr>
            <a:solidFill>
              <a:schemeClr val="accent1"/>
            </a:solidFill>
            <a:ln>
              <a:noFill/>
            </a:ln>
            <a:effectLst/>
          </c:spPr>
          <c:invertIfNegative val="0"/>
          <c:cat>
            <c:numRef>
              <c:f>Sheet1!$A$2:$A$7</c:f>
              <c:numCache>
                <c:formatCode>General</c:formatCode>
                <c:ptCount val="6"/>
                <c:pt idx="0">
                  <c:v>2015</c:v>
                </c:pt>
                <c:pt idx="1">
                  <c:v>2016</c:v>
                </c:pt>
                <c:pt idx="2">
                  <c:v>2017</c:v>
                </c:pt>
                <c:pt idx="3">
                  <c:v>2018</c:v>
                </c:pt>
                <c:pt idx="4">
                  <c:v>2019</c:v>
                </c:pt>
                <c:pt idx="5">
                  <c:v>2020</c:v>
                </c:pt>
              </c:numCache>
            </c:numRef>
          </c:cat>
          <c:val>
            <c:numRef>
              <c:f>Sheet1!$B$2:$B$7</c:f>
              <c:numCache>
                <c:formatCode>General</c:formatCode>
                <c:ptCount val="6"/>
                <c:pt idx="0">
                  <c:v>42</c:v>
                </c:pt>
                <c:pt idx="1">
                  <c:v>50</c:v>
                </c:pt>
                <c:pt idx="2">
                  <c:v>45</c:v>
                </c:pt>
                <c:pt idx="3">
                  <c:v>65</c:v>
                </c:pt>
                <c:pt idx="4">
                  <c:v>46</c:v>
                </c:pt>
                <c:pt idx="5">
                  <c:v>63</c:v>
                </c:pt>
              </c:numCache>
            </c:numRef>
          </c:val>
          <c:extLst>
            <c:ext xmlns:c16="http://schemas.microsoft.com/office/drawing/2014/chart" uri="{C3380CC4-5D6E-409C-BE32-E72D297353CC}">
              <c16:uniqueId val="{00000000-E2D0-4691-8600-7342F47ED7BE}"/>
            </c:ext>
          </c:extLst>
        </c:ser>
        <c:ser>
          <c:idx val="1"/>
          <c:order val="1"/>
          <c:tx>
            <c:strRef>
              <c:f>Sheet1!$C$1</c:f>
              <c:strCache>
                <c:ptCount val="1"/>
                <c:pt idx="0">
                  <c:v>Fellelser</c:v>
                </c:pt>
              </c:strCache>
            </c:strRef>
          </c:tx>
          <c:spPr>
            <a:solidFill>
              <a:schemeClr val="accent2"/>
            </a:solidFill>
            <a:ln>
              <a:noFill/>
            </a:ln>
            <a:effectLst/>
          </c:spPr>
          <c:invertIfNegative val="0"/>
          <c:cat>
            <c:numRef>
              <c:f>Sheet1!$A$2:$A$7</c:f>
              <c:numCache>
                <c:formatCode>General</c:formatCode>
                <c:ptCount val="6"/>
                <c:pt idx="0">
                  <c:v>2015</c:v>
                </c:pt>
                <c:pt idx="1">
                  <c:v>2016</c:v>
                </c:pt>
                <c:pt idx="2">
                  <c:v>2017</c:v>
                </c:pt>
                <c:pt idx="3">
                  <c:v>2018</c:v>
                </c:pt>
                <c:pt idx="4">
                  <c:v>2019</c:v>
                </c:pt>
                <c:pt idx="5">
                  <c:v>2020</c:v>
                </c:pt>
              </c:numCache>
            </c:numRef>
          </c:cat>
          <c:val>
            <c:numRef>
              <c:f>Sheet1!$C$2:$C$7</c:f>
              <c:numCache>
                <c:formatCode>General</c:formatCode>
                <c:ptCount val="6"/>
                <c:pt idx="0">
                  <c:v>22</c:v>
                </c:pt>
                <c:pt idx="1">
                  <c:v>18</c:v>
                </c:pt>
                <c:pt idx="2">
                  <c:v>23</c:v>
                </c:pt>
                <c:pt idx="3">
                  <c:v>21</c:v>
                </c:pt>
                <c:pt idx="4">
                  <c:v>13</c:v>
                </c:pt>
                <c:pt idx="5">
                  <c:v>24</c:v>
                </c:pt>
              </c:numCache>
            </c:numRef>
          </c:val>
          <c:extLst>
            <c:ext xmlns:c16="http://schemas.microsoft.com/office/drawing/2014/chart" uri="{C3380CC4-5D6E-409C-BE32-E72D297353CC}">
              <c16:uniqueId val="{00000001-E2D0-4691-8600-7342F47ED7BE}"/>
            </c:ext>
          </c:extLst>
        </c:ser>
        <c:dLbls>
          <c:showLegendKey val="0"/>
          <c:showVal val="0"/>
          <c:showCatName val="0"/>
          <c:showSerName val="0"/>
          <c:showPercent val="0"/>
          <c:showBubbleSize val="0"/>
        </c:dLbls>
        <c:gapWidth val="219"/>
        <c:overlap val="-27"/>
        <c:axId val="223140400"/>
        <c:axId val="308289344"/>
      </c:barChart>
      <c:catAx>
        <c:axId val="22314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crossAx val="308289344"/>
        <c:crosses val="autoZero"/>
        <c:auto val="1"/>
        <c:lblAlgn val="ctr"/>
        <c:lblOffset val="100"/>
        <c:noMultiLvlLbl val="0"/>
      </c:catAx>
      <c:valAx>
        <c:axId val="30828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crossAx val="22314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0" ma:contentTypeDescription="Create a new document." ma:contentTypeScope="" ma:versionID="e9ba793a03dab6a78c35e88202b03eb8">
  <xsd:schema xmlns:xsd="http://www.w3.org/2001/XMLSchema" xmlns:xs="http://www.w3.org/2001/XMLSchema" xmlns:p="http://schemas.microsoft.com/office/2006/metadata/properties" xmlns:ns2="f5002f68-9e99-4a1d-9845-6cb07dfe8361" targetNamespace="http://schemas.microsoft.com/office/2006/metadata/properties" ma:root="true" ma:fieldsID="0c8b1f2b5bd82c9d2e3d6b5b575ef08e"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0C259-60D8-46C6-B8E2-1C314404F004}">
  <ds:schemaRefs>
    <ds:schemaRef ds:uri="http://schemas.openxmlformats.org/officeDocument/2006/bibliography"/>
  </ds:schemaRefs>
</ds:datastoreItem>
</file>

<file path=customXml/itemProps2.xml><?xml version="1.0" encoding="utf-8"?>
<ds:datastoreItem xmlns:ds="http://schemas.openxmlformats.org/officeDocument/2006/customXml" ds:itemID="{0B72AFFC-1E9C-462E-A129-BDADC1D17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F46F2-5A19-4B43-8695-EE3767CC69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69E3B9-7A40-4760-BB24-3BA049407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4911</Words>
  <Characters>26029</Characters>
  <Application>Microsoft Office Word</Application>
  <DocSecurity>0</DocSecurity>
  <Lines>216</Lines>
  <Paragraphs>61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30879</CharactersWithSpaces>
  <SharedDoc>false</SharedDoc>
  <HLinks>
    <vt:vector size="258" baseType="variant">
      <vt:variant>
        <vt:i4>2490489</vt:i4>
      </vt:variant>
      <vt:variant>
        <vt:i4>123</vt:i4>
      </vt:variant>
      <vt:variant>
        <vt:i4>0</vt:i4>
      </vt:variant>
      <vt:variant>
        <vt:i4>5</vt:i4>
      </vt:variant>
      <vt:variant>
        <vt:lpwstr>https://presse.no/pfu-sak/030-2019/</vt:lpwstr>
      </vt:variant>
      <vt:variant>
        <vt:lpwstr/>
      </vt:variant>
      <vt:variant>
        <vt:i4>1048649</vt:i4>
      </vt:variant>
      <vt:variant>
        <vt:i4>120</vt:i4>
      </vt:variant>
      <vt:variant>
        <vt:i4>0</vt:i4>
      </vt:variant>
      <vt:variant>
        <vt:i4>5</vt:i4>
      </vt:variant>
      <vt:variant>
        <vt:lpwstr>https://presse.no/pfu-sak/153-19/</vt:lpwstr>
      </vt:variant>
      <vt:variant>
        <vt:lpwstr/>
      </vt:variant>
      <vt:variant>
        <vt:i4>6160386</vt:i4>
      </vt:variant>
      <vt:variant>
        <vt:i4>117</vt:i4>
      </vt:variant>
      <vt:variant>
        <vt:i4>0</vt:i4>
      </vt:variant>
      <vt:variant>
        <vt:i4>5</vt:i4>
      </vt:variant>
      <vt:variant>
        <vt:lpwstr>https://presse.no/pfu-sak/157-19-ab/</vt:lpwstr>
      </vt:variant>
      <vt:variant>
        <vt:lpwstr/>
      </vt:variant>
      <vt:variant>
        <vt:i4>1179720</vt:i4>
      </vt:variant>
      <vt:variant>
        <vt:i4>114</vt:i4>
      </vt:variant>
      <vt:variant>
        <vt:i4>0</vt:i4>
      </vt:variant>
      <vt:variant>
        <vt:i4>5</vt:i4>
      </vt:variant>
      <vt:variant>
        <vt:lpwstr>https://presse.no/pfu-sak/172-19/</vt:lpwstr>
      </vt:variant>
      <vt:variant>
        <vt:lpwstr/>
      </vt:variant>
      <vt:variant>
        <vt:i4>1310798</vt:i4>
      </vt:variant>
      <vt:variant>
        <vt:i4>111</vt:i4>
      </vt:variant>
      <vt:variant>
        <vt:i4>0</vt:i4>
      </vt:variant>
      <vt:variant>
        <vt:i4>5</vt:i4>
      </vt:variant>
      <vt:variant>
        <vt:lpwstr>https://presse.no/pfu-sak/217-19/</vt:lpwstr>
      </vt:variant>
      <vt:variant>
        <vt:lpwstr/>
      </vt:variant>
      <vt:variant>
        <vt:i4>1310785</vt:i4>
      </vt:variant>
      <vt:variant>
        <vt:i4>108</vt:i4>
      </vt:variant>
      <vt:variant>
        <vt:i4>0</vt:i4>
      </vt:variant>
      <vt:variant>
        <vt:i4>5</vt:i4>
      </vt:variant>
      <vt:variant>
        <vt:lpwstr>https://presse.no/pfu-sak/218-19/</vt:lpwstr>
      </vt:variant>
      <vt:variant>
        <vt:lpwstr/>
      </vt:variant>
      <vt:variant>
        <vt:i4>1507400</vt:i4>
      </vt:variant>
      <vt:variant>
        <vt:i4>105</vt:i4>
      </vt:variant>
      <vt:variant>
        <vt:i4>0</vt:i4>
      </vt:variant>
      <vt:variant>
        <vt:i4>5</vt:i4>
      </vt:variant>
      <vt:variant>
        <vt:lpwstr>https://presse.no/pfu-sak/221-19/</vt:lpwstr>
      </vt:variant>
      <vt:variant>
        <vt:lpwstr/>
      </vt:variant>
      <vt:variant>
        <vt:i4>1048649</vt:i4>
      </vt:variant>
      <vt:variant>
        <vt:i4>102</vt:i4>
      </vt:variant>
      <vt:variant>
        <vt:i4>0</vt:i4>
      </vt:variant>
      <vt:variant>
        <vt:i4>5</vt:i4>
      </vt:variant>
      <vt:variant>
        <vt:lpwstr>https://presse.no/pfu-sak/250-19/</vt:lpwstr>
      </vt:variant>
      <vt:variant>
        <vt:lpwstr/>
      </vt:variant>
      <vt:variant>
        <vt:i4>1835087</vt:i4>
      </vt:variant>
      <vt:variant>
        <vt:i4>99</vt:i4>
      </vt:variant>
      <vt:variant>
        <vt:i4>0</vt:i4>
      </vt:variant>
      <vt:variant>
        <vt:i4>5</vt:i4>
      </vt:variant>
      <vt:variant>
        <vt:lpwstr>https://presse.no/pfu-sak/007-20/</vt:lpwstr>
      </vt:variant>
      <vt:variant>
        <vt:lpwstr/>
      </vt:variant>
      <vt:variant>
        <vt:i4>1900608</vt:i4>
      </vt:variant>
      <vt:variant>
        <vt:i4>96</vt:i4>
      </vt:variant>
      <vt:variant>
        <vt:i4>0</vt:i4>
      </vt:variant>
      <vt:variant>
        <vt:i4>5</vt:i4>
      </vt:variant>
      <vt:variant>
        <vt:lpwstr>https://presse.no/pfu-sak/018-20/</vt:lpwstr>
      </vt:variant>
      <vt:variant>
        <vt:lpwstr/>
      </vt:variant>
      <vt:variant>
        <vt:i4>5439570</vt:i4>
      </vt:variant>
      <vt:variant>
        <vt:i4>93</vt:i4>
      </vt:variant>
      <vt:variant>
        <vt:i4>0</vt:i4>
      </vt:variant>
      <vt:variant>
        <vt:i4>5</vt:i4>
      </vt:variant>
      <vt:variant>
        <vt:lpwstr>https://presse.no/pfu-sak/sak-032-20/</vt:lpwstr>
      </vt:variant>
      <vt:variant>
        <vt:lpwstr/>
      </vt:variant>
      <vt:variant>
        <vt:i4>2031693</vt:i4>
      </vt:variant>
      <vt:variant>
        <vt:i4>90</vt:i4>
      </vt:variant>
      <vt:variant>
        <vt:i4>0</vt:i4>
      </vt:variant>
      <vt:variant>
        <vt:i4>5</vt:i4>
      </vt:variant>
      <vt:variant>
        <vt:lpwstr>https://presse.no/pfu-sak/035-20/</vt:lpwstr>
      </vt:variant>
      <vt:variant>
        <vt:lpwstr/>
      </vt:variant>
      <vt:variant>
        <vt:i4>1572941</vt:i4>
      </vt:variant>
      <vt:variant>
        <vt:i4>87</vt:i4>
      </vt:variant>
      <vt:variant>
        <vt:i4>0</vt:i4>
      </vt:variant>
      <vt:variant>
        <vt:i4>5</vt:i4>
      </vt:variant>
      <vt:variant>
        <vt:lpwstr>https://presse.no/pfu-sak/045-20/</vt:lpwstr>
      </vt:variant>
      <vt:variant>
        <vt:lpwstr/>
      </vt:variant>
      <vt:variant>
        <vt:i4>1572943</vt:i4>
      </vt:variant>
      <vt:variant>
        <vt:i4>84</vt:i4>
      </vt:variant>
      <vt:variant>
        <vt:i4>0</vt:i4>
      </vt:variant>
      <vt:variant>
        <vt:i4>5</vt:i4>
      </vt:variant>
      <vt:variant>
        <vt:lpwstr>https://presse.no/pfu-sak/047-20/</vt:lpwstr>
      </vt:variant>
      <vt:variant>
        <vt:lpwstr/>
      </vt:variant>
      <vt:variant>
        <vt:i4>1769544</vt:i4>
      </vt:variant>
      <vt:variant>
        <vt:i4>81</vt:i4>
      </vt:variant>
      <vt:variant>
        <vt:i4>0</vt:i4>
      </vt:variant>
      <vt:variant>
        <vt:i4>5</vt:i4>
      </vt:variant>
      <vt:variant>
        <vt:lpwstr>https://presse.no/pfu-sak/070-20/</vt:lpwstr>
      </vt:variant>
      <vt:variant>
        <vt:lpwstr/>
      </vt:variant>
      <vt:variant>
        <vt:i4>1769548</vt:i4>
      </vt:variant>
      <vt:variant>
        <vt:i4>78</vt:i4>
      </vt:variant>
      <vt:variant>
        <vt:i4>0</vt:i4>
      </vt:variant>
      <vt:variant>
        <vt:i4>5</vt:i4>
      </vt:variant>
      <vt:variant>
        <vt:lpwstr>https://presse.no/pfu-sak/074-20/</vt:lpwstr>
      </vt:variant>
      <vt:variant>
        <vt:lpwstr/>
      </vt:variant>
      <vt:variant>
        <vt:i4>1769550</vt:i4>
      </vt:variant>
      <vt:variant>
        <vt:i4>75</vt:i4>
      </vt:variant>
      <vt:variant>
        <vt:i4>0</vt:i4>
      </vt:variant>
      <vt:variant>
        <vt:i4>5</vt:i4>
      </vt:variant>
      <vt:variant>
        <vt:lpwstr>https://presse.no/pfu-sak/076-20/</vt:lpwstr>
      </vt:variant>
      <vt:variant>
        <vt:lpwstr/>
      </vt:variant>
      <vt:variant>
        <vt:i4>1376330</vt:i4>
      </vt:variant>
      <vt:variant>
        <vt:i4>72</vt:i4>
      </vt:variant>
      <vt:variant>
        <vt:i4>0</vt:i4>
      </vt:variant>
      <vt:variant>
        <vt:i4>5</vt:i4>
      </vt:variant>
      <vt:variant>
        <vt:lpwstr>https://presse.no/pfu-sak/092-20/</vt:lpwstr>
      </vt:variant>
      <vt:variant>
        <vt:lpwstr/>
      </vt:variant>
      <vt:variant>
        <vt:i4>1376321</vt:i4>
      </vt:variant>
      <vt:variant>
        <vt:i4>69</vt:i4>
      </vt:variant>
      <vt:variant>
        <vt:i4>0</vt:i4>
      </vt:variant>
      <vt:variant>
        <vt:i4>5</vt:i4>
      </vt:variant>
      <vt:variant>
        <vt:lpwstr>https://presse.no/pfu-sak/099-20/</vt:lpwstr>
      </vt:variant>
      <vt:variant>
        <vt:lpwstr/>
      </vt:variant>
      <vt:variant>
        <vt:i4>1900616</vt:i4>
      </vt:variant>
      <vt:variant>
        <vt:i4>66</vt:i4>
      </vt:variant>
      <vt:variant>
        <vt:i4>0</vt:i4>
      </vt:variant>
      <vt:variant>
        <vt:i4>5</vt:i4>
      </vt:variant>
      <vt:variant>
        <vt:lpwstr>https://presse.no/pfu-sak/111-20/</vt:lpwstr>
      </vt:variant>
      <vt:variant>
        <vt:lpwstr/>
      </vt:variant>
      <vt:variant>
        <vt:i4>5308503</vt:i4>
      </vt:variant>
      <vt:variant>
        <vt:i4>63</vt:i4>
      </vt:variant>
      <vt:variant>
        <vt:i4>0</vt:i4>
      </vt:variant>
      <vt:variant>
        <vt:i4>5</vt:i4>
      </vt:variant>
      <vt:variant>
        <vt:lpwstr>https://presse.no/pfu-sak/sak-116-20/</vt:lpwstr>
      </vt:variant>
      <vt:variant>
        <vt:lpwstr/>
      </vt:variant>
      <vt:variant>
        <vt:i4>2031694</vt:i4>
      </vt:variant>
      <vt:variant>
        <vt:i4>60</vt:i4>
      </vt:variant>
      <vt:variant>
        <vt:i4>0</vt:i4>
      </vt:variant>
      <vt:variant>
        <vt:i4>5</vt:i4>
      </vt:variant>
      <vt:variant>
        <vt:lpwstr>https://presse.no/pfu-sak/137-20/</vt:lpwstr>
      </vt:variant>
      <vt:variant>
        <vt:lpwstr/>
      </vt:variant>
      <vt:variant>
        <vt:i4>5505110</vt:i4>
      </vt:variant>
      <vt:variant>
        <vt:i4>57</vt:i4>
      </vt:variant>
      <vt:variant>
        <vt:i4>0</vt:i4>
      </vt:variant>
      <vt:variant>
        <vt:i4>5</vt:i4>
      </vt:variant>
      <vt:variant>
        <vt:lpwstr>https://presse.no/pfu-sak/sak-147-20/</vt:lpwstr>
      </vt:variant>
      <vt:variant>
        <vt:lpwstr/>
      </vt:variant>
      <vt:variant>
        <vt:i4>1638472</vt:i4>
      </vt:variant>
      <vt:variant>
        <vt:i4>54</vt:i4>
      </vt:variant>
      <vt:variant>
        <vt:i4>0</vt:i4>
      </vt:variant>
      <vt:variant>
        <vt:i4>5</vt:i4>
      </vt:variant>
      <vt:variant>
        <vt:lpwstr>https://presse.no/pfu-sak/151-20/</vt:lpwstr>
      </vt:variant>
      <vt:variant>
        <vt:lpwstr/>
      </vt:variant>
      <vt:variant>
        <vt:i4>1114186</vt:i4>
      </vt:variant>
      <vt:variant>
        <vt:i4>51</vt:i4>
      </vt:variant>
      <vt:variant>
        <vt:i4>0</vt:i4>
      </vt:variant>
      <vt:variant>
        <vt:i4>5</vt:i4>
      </vt:variant>
      <vt:variant>
        <vt:lpwstr>https://presse.no/pfu-sak/253-18/</vt:lpwstr>
      </vt:variant>
      <vt:variant>
        <vt:lpwstr/>
      </vt:variant>
      <vt:variant>
        <vt:i4>1114189</vt:i4>
      </vt:variant>
      <vt:variant>
        <vt:i4>48</vt:i4>
      </vt:variant>
      <vt:variant>
        <vt:i4>0</vt:i4>
      </vt:variant>
      <vt:variant>
        <vt:i4>5</vt:i4>
      </vt:variant>
      <vt:variant>
        <vt:lpwstr>https://presse.no/pfu-sak/254-18/</vt:lpwstr>
      </vt:variant>
      <vt:variant>
        <vt:lpwstr/>
      </vt:variant>
      <vt:variant>
        <vt:i4>1245258</vt:i4>
      </vt:variant>
      <vt:variant>
        <vt:i4>45</vt:i4>
      </vt:variant>
      <vt:variant>
        <vt:i4>0</vt:i4>
      </vt:variant>
      <vt:variant>
        <vt:i4>5</vt:i4>
      </vt:variant>
      <vt:variant>
        <vt:lpwstr>https://presse.no/pfu-sak/273-18/</vt:lpwstr>
      </vt:variant>
      <vt:variant>
        <vt:lpwstr/>
      </vt:variant>
      <vt:variant>
        <vt:i4>1245261</vt:i4>
      </vt:variant>
      <vt:variant>
        <vt:i4>42</vt:i4>
      </vt:variant>
      <vt:variant>
        <vt:i4>0</vt:i4>
      </vt:variant>
      <vt:variant>
        <vt:i4>5</vt:i4>
      </vt:variant>
      <vt:variant>
        <vt:lpwstr>https://presse.no/pfu-sak/274-18/</vt:lpwstr>
      </vt:variant>
      <vt:variant>
        <vt:lpwstr/>
      </vt:variant>
      <vt:variant>
        <vt:i4>1507402</vt:i4>
      </vt:variant>
      <vt:variant>
        <vt:i4>39</vt:i4>
      </vt:variant>
      <vt:variant>
        <vt:i4>0</vt:i4>
      </vt:variant>
      <vt:variant>
        <vt:i4>5</vt:i4>
      </vt:variant>
      <vt:variant>
        <vt:lpwstr>https://presse.no/pfu-sak/021-19/</vt:lpwstr>
      </vt:variant>
      <vt:variant>
        <vt:lpwstr/>
      </vt:variant>
      <vt:variant>
        <vt:i4>1507401</vt:i4>
      </vt:variant>
      <vt:variant>
        <vt:i4>36</vt:i4>
      </vt:variant>
      <vt:variant>
        <vt:i4>0</vt:i4>
      </vt:variant>
      <vt:variant>
        <vt:i4>5</vt:i4>
      </vt:variant>
      <vt:variant>
        <vt:lpwstr>https://presse.no/pfu-sak/022-19/</vt:lpwstr>
      </vt:variant>
      <vt:variant>
        <vt:lpwstr/>
      </vt:variant>
      <vt:variant>
        <vt:i4>1441871</vt:i4>
      </vt:variant>
      <vt:variant>
        <vt:i4>33</vt:i4>
      </vt:variant>
      <vt:variant>
        <vt:i4>0</vt:i4>
      </vt:variant>
      <vt:variant>
        <vt:i4>5</vt:i4>
      </vt:variant>
      <vt:variant>
        <vt:lpwstr>https://presse.no/pfu-sak/034-19/</vt:lpwstr>
      </vt:variant>
      <vt:variant>
        <vt:lpwstr/>
      </vt:variant>
      <vt:variant>
        <vt:i4>1441858</vt:i4>
      </vt:variant>
      <vt:variant>
        <vt:i4>30</vt:i4>
      </vt:variant>
      <vt:variant>
        <vt:i4>0</vt:i4>
      </vt:variant>
      <vt:variant>
        <vt:i4>5</vt:i4>
      </vt:variant>
      <vt:variant>
        <vt:lpwstr>https://presse.no/pfu-sak/039-19/</vt:lpwstr>
      </vt:variant>
      <vt:variant>
        <vt:lpwstr/>
      </vt:variant>
      <vt:variant>
        <vt:i4>1900619</vt:i4>
      </vt:variant>
      <vt:variant>
        <vt:i4>27</vt:i4>
      </vt:variant>
      <vt:variant>
        <vt:i4>0</vt:i4>
      </vt:variant>
      <vt:variant>
        <vt:i4>5</vt:i4>
      </vt:variant>
      <vt:variant>
        <vt:lpwstr>https://presse.no/pfu-sak/080-19/</vt:lpwstr>
      </vt:variant>
      <vt:variant>
        <vt:lpwstr/>
      </vt:variant>
      <vt:variant>
        <vt:i4>1900619</vt:i4>
      </vt:variant>
      <vt:variant>
        <vt:i4>24</vt:i4>
      </vt:variant>
      <vt:variant>
        <vt:i4>0</vt:i4>
      </vt:variant>
      <vt:variant>
        <vt:i4>5</vt:i4>
      </vt:variant>
      <vt:variant>
        <vt:lpwstr>https://presse.no/pfu-sak/080-19/</vt:lpwstr>
      </vt:variant>
      <vt:variant>
        <vt:lpwstr/>
      </vt:variant>
      <vt:variant>
        <vt:i4>1900616</vt:i4>
      </vt:variant>
      <vt:variant>
        <vt:i4>21</vt:i4>
      </vt:variant>
      <vt:variant>
        <vt:i4>0</vt:i4>
      </vt:variant>
      <vt:variant>
        <vt:i4>5</vt:i4>
      </vt:variant>
      <vt:variant>
        <vt:lpwstr>https://presse.no/pfu-sak/083-19/</vt:lpwstr>
      </vt:variant>
      <vt:variant>
        <vt:lpwstr/>
      </vt:variant>
      <vt:variant>
        <vt:i4>1900621</vt:i4>
      </vt:variant>
      <vt:variant>
        <vt:i4>18</vt:i4>
      </vt:variant>
      <vt:variant>
        <vt:i4>0</vt:i4>
      </vt:variant>
      <vt:variant>
        <vt:i4>5</vt:i4>
      </vt:variant>
      <vt:variant>
        <vt:lpwstr>https://presse.no/pfu-sak/086-19/</vt:lpwstr>
      </vt:variant>
      <vt:variant>
        <vt:lpwstr/>
      </vt:variant>
      <vt:variant>
        <vt:i4>1835087</vt:i4>
      </vt:variant>
      <vt:variant>
        <vt:i4>15</vt:i4>
      </vt:variant>
      <vt:variant>
        <vt:i4>0</vt:i4>
      </vt:variant>
      <vt:variant>
        <vt:i4>5</vt:i4>
      </vt:variant>
      <vt:variant>
        <vt:lpwstr>https://presse.no/pfu-sak/094-19/</vt:lpwstr>
      </vt:variant>
      <vt:variant>
        <vt:lpwstr/>
      </vt:variant>
      <vt:variant>
        <vt:i4>458769</vt:i4>
      </vt:variant>
      <vt:variant>
        <vt:i4>12</vt:i4>
      </vt:variant>
      <vt:variant>
        <vt:i4>0</vt:i4>
      </vt:variant>
      <vt:variant>
        <vt:i4>5</vt:i4>
      </vt:variant>
      <vt:variant>
        <vt:lpwstr>http://www.nored.no/NR-dokumentasjon/Rapporter-og-veiledere/Slik-skiller-du-journalistikk-og-reklame</vt:lpwstr>
      </vt:variant>
      <vt:variant>
        <vt:lpwstr/>
      </vt:variant>
      <vt:variant>
        <vt:i4>1835074</vt:i4>
      </vt:variant>
      <vt:variant>
        <vt:i4>9</vt:i4>
      </vt:variant>
      <vt:variant>
        <vt:i4>0</vt:i4>
      </vt:variant>
      <vt:variant>
        <vt:i4>5</vt:i4>
      </vt:variant>
      <vt:variant>
        <vt:lpwstr>https://presse.no/pfu-sak/099-19/</vt:lpwstr>
      </vt:variant>
      <vt:variant>
        <vt:lpwstr/>
      </vt:variant>
      <vt:variant>
        <vt:i4>1704011</vt:i4>
      </vt:variant>
      <vt:variant>
        <vt:i4>6</vt:i4>
      </vt:variant>
      <vt:variant>
        <vt:i4>0</vt:i4>
      </vt:variant>
      <vt:variant>
        <vt:i4>5</vt:i4>
      </vt:variant>
      <vt:variant>
        <vt:lpwstr>https://presse.no/pfu-sak/162-20/</vt:lpwstr>
      </vt:variant>
      <vt:variant>
        <vt:lpwstr/>
      </vt:variant>
      <vt:variant>
        <vt:i4>786522</vt:i4>
      </vt:variant>
      <vt:variant>
        <vt:i4>3</vt:i4>
      </vt:variant>
      <vt:variant>
        <vt:i4>0</vt:i4>
      </vt:variant>
      <vt:variant>
        <vt:i4>5</vt:i4>
      </vt:variant>
      <vt:variant>
        <vt:lpwstr>http://www.presse.no/</vt:lpwstr>
      </vt:variant>
      <vt:variant>
        <vt:lpwstr/>
      </vt:variant>
      <vt:variant>
        <vt:i4>786522</vt:i4>
      </vt:variant>
      <vt:variant>
        <vt:i4>0</vt:i4>
      </vt:variant>
      <vt:variant>
        <vt:i4>0</vt:i4>
      </vt:variant>
      <vt:variant>
        <vt:i4>5</vt:i4>
      </vt:variant>
      <vt:variant>
        <vt:lpwstr>http://www.presse.no/</vt:lpwstr>
      </vt:variant>
      <vt:variant>
        <vt:lpwstr/>
      </vt:variant>
      <vt:variant>
        <vt:i4>524361</vt:i4>
      </vt:variant>
      <vt:variant>
        <vt:i4>0</vt:i4>
      </vt:variant>
      <vt:variant>
        <vt:i4>0</vt:i4>
      </vt:variant>
      <vt:variant>
        <vt:i4>5</vt:i4>
      </vt:variant>
      <vt:variant>
        <vt:lpwstr>https://presse.no/pfu-sak/235-237-19/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Øy</dc:creator>
  <cp:lastModifiedBy>Arne Jensen</cp:lastModifiedBy>
  <cp:revision>2</cp:revision>
  <cp:lastPrinted>2018-04-13T10:06:00Z</cp:lastPrinted>
  <dcterms:created xsi:type="dcterms:W3CDTF">2021-04-25T18:46:00Z</dcterms:created>
  <dcterms:modified xsi:type="dcterms:W3CDTF">2021-04-25T18:46:00Z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1271300</vt:r8>
  </property>
</Properties>
</file>