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D5B1" w14:textId="385AC261" w:rsidR="00B928D8" w:rsidRPr="008C5036" w:rsidRDefault="00B928D8" w:rsidP="008C5036">
      <w:pPr>
        <w:spacing w:after="0"/>
        <w:rPr>
          <w:rFonts w:ascii="Arial" w:hAnsi="Arial" w:cs="Arial"/>
        </w:rPr>
      </w:pPr>
      <w:r w:rsidRPr="008C5036">
        <w:rPr>
          <w:rFonts w:ascii="Arial" w:hAnsi="Arial" w:cs="Arial"/>
        </w:rPr>
        <w:t>Norsk Redaktørforening</w:t>
      </w:r>
    </w:p>
    <w:p w14:paraId="2B82BDFF" w14:textId="5B199AA9" w:rsidR="00B928D8" w:rsidRPr="008C5036" w:rsidRDefault="00B928D8" w:rsidP="008C5036">
      <w:pPr>
        <w:spacing w:after="0"/>
        <w:rPr>
          <w:rFonts w:ascii="Arial" w:hAnsi="Arial" w:cs="Arial"/>
        </w:rPr>
      </w:pPr>
      <w:r w:rsidRPr="008C5036">
        <w:rPr>
          <w:rFonts w:ascii="Arial" w:hAnsi="Arial" w:cs="Arial"/>
        </w:rPr>
        <w:t>Styremøte 20</w:t>
      </w:r>
      <w:r w:rsidR="00E175FC" w:rsidRPr="008C5036">
        <w:rPr>
          <w:rFonts w:ascii="Arial" w:hAnsi="Arial" w:cs="Arial"/>
        </w:rPr>
        <w:t>20</w:t>
      </w:r>
      <w:r w:rsidRPr="008C5036">
        <w:rPr>
          <w:rFonts w:ascii="Arial" w:hAnsi="Arial" w:cs="Arial"/>
        </w:rPr>
        <w:t>-</w:t>
      </w:r>
      <w:r w:rsidR="007C39FC">
        <w:rPr>
          <w:rFonts w:ascii="Arial" w:hAnsi="Arial" w:cs="Arial"/>
        </w:rPr>
        <w:t>10</w:t>
      </w:r>
      <w:r w:rsidR="0052524B" w:rsidRPr="008C5036">
        <w:rPr>
          <w:rFonts w:ascii="Arial" w:hAnsi="Arial" w:cs="Arial"/>
        </w:rPr>
        <w:t>-</w:t>
      </w:r>
      <w:r w:rsidR="00662EE9">
        <w:rPr>
          <w:rFonts w:ascii="Arial" w:hAnsi="Arial" w:cs="Arial"/>
        </w:rPr>
        <w:t>2</w:t>
      </w:r>
      <w:r w:rsidR="007C39FC">
        <w:rPr>
          <w:rFonts w:ascii="Arial" w:hAnsi="Arial" w:cs="Arial"/>
        </w:rPr>
        <w:t>8</w:t>
      </w:r>
      <w:r w:rsidR="0052524B" w:rsidRPr="008C5036">
        <w:rPr>
          <w:rFonts w:ascii="Arial" w:hAnsi="Arial" w:cs="Arial"/>
        </w:rPr>
        <w:t xml:space="preserve"> </w:t>
      </w:r>
      <w:r w:rsidR="00A93926">
        <w:rPr>
          <w:rFonts w:ascii="Arial" w:hAnsi="Arial" w:cs="Arial"/>
        </w:rPr>
        <w:t>via epost</w:t>
      </w:r>
    </w:p>
    <w:p w14:paraId="51BF992E" w14:textId="77777777" w:rsidR="004511F4" w:rsidRPr="008C5036" w:rsidRDefault="0018602A" w:rsidP="008C5036">
      <w:pPr>
        <w:spacing w:after="0"/>
        <w:rPr>
          <w:rFonts w:ascii="Arial" w:hAnsi="Arial" w:cs="Arial"/>
        </w:rPr>
      </w:pPr>
      <w:r w:rsidRPr="008C5036">
        <w:rPr>
          <w:rFonts w:ascii="Arial" w:hAnsi="Arial" w:cs="Arial"/>
        </w:rPr>
        <w:t>AJ</w:t>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p>
    <w:p w14:paraId="3E6466BB" w14:textId="77777777" w:rsidR="007F7104" w:rsidRPr="008C5036" w:rsidRDefault="007F7104" w:rsidP="008C5036">
      <w:pPr>
        <w:spacing w:after="0"/>
        <w:rPr>
          <w:rFonts w:ascii="Arial" w:hAnsi="Arial" w:cs="Arial"/>
          <w:b/>
          <w:color w:val="FF0000"/>
          <w:u w:val="single"/>
        </w:rPr>
      </w:pPr>
    </w:p>
    <w:p w14:paraId="41E62397" w14:textId="04AADB1F" w:rsidR="00B928D8" w:rsidRPr="008C5036" w:rsidRDefault="00B928D8" w:rsidP="008C5036">
      <w:pPr>
        <w:spacing w:after="0"/>
        <w:rPr>
          <w:rFonts w:ascii="Arial" w:hAnsi="Arial" w:cs="Arial"/>
          <w:b/>
        </w:rPr>
      </w:pPr>
      <w:r w:rsidRPr="008C5036">
        <w:rPr>
          <w:rFonts w:ascii="Arial" w:hAnsi="Arial" w:cs="Arial"/>
          <w:b/>
        </w:rPr>
        <w:t>Sak 20</w:t>
      </w:r>
      <w:r w:rsidR="00E175FC" w:rsidRPr="008C5036">
        <w:rPr>
          <w:rFonts w:ascii="Arial" w:hAnsi="Arial" w:cs="Arial"/>
          <w:b/>
        </w:rPr>
        <w:t>20</w:t>
      </w:r>
      <w:r w:rsidRPr="008C5036">
        <w:rPr>
          <w:rFonts w:ascii="Arial" w:hAnsi="Arial" w:cs="Arial"/>
          <w:b/>
        </w:rPr>
        <w:t>-</w:t>
      </w:r>
      <w:r w:rsidR="00662EE9">
        <w:rPr>
          <w:rFonts w:ascii="Arial" w:hAnsi="Arial" w:cs="Arial"/>
          <w:b/>
        </w:rPr>
        <w:t>4</w:t>
      </w:r>
      <w:r w:rsidR="007C39FC">
        <w:rPr>
          <w:rFonts w:ascii="Arial" w:hAnsi="Arial" w:cs="Arial"/>
          <w:b/>
        </w:rPr>
        <w:t>9</w:t>
      </w:r>
      <w:r w:rsidR="00697DC5" w:rsidRPr="008C5036">
        <w:rPr>
          <w:rFonts w:ascii="Arial" w:hAnsi="Arial" w:cs="Arial"/>
          <w:b/>
        </w:rPr>
        <w:t>:</w:t>
      </w:r>
      <w:r w:rsidRPr="008C5036">
        <w:rPr>
          <w:rFonts w:ascii="Arial" w:hAnsi="Arial" w:cs="Arial"/>
          <w:b/>
        </w:rPr>
        <w:t xml:space="preserve"> </w:t>
      </w:r>
      <w:r w:rsidR="007C39FC">
        <w:rPr>
          <w:rFonts w:ascii="Arial" w:hAnsi="Arial" w:cs="Arial"/>
          <w:b/>
        </w:rPr>
        <w:t xml:space="preserve">Pressens </w:t>
      </w:r>
      <w:r w:rsidR="00A907D4">
        <w:rPr>
          <w:rFonts w:ascii="Arial" w:hAnsi="Arial" w:cs="Arial"/>
          <w:b/>
        </w:rPr>
        <w:t>h</w:t>
      </w:r>
      <w:r w:rsidR="007C39FC">
        <w:rPr>
          <w:rFonts w:ascii="Arial" w:hAnsi="Arial" w:cs="Arial"/>
          <w:b/>
        </w:rPr>
        <w:t xml:space="preserve">us </w:t>
      </w:r>
      <w:r w:rsidR="00A72F71">
        <w:rPr>
          <w:rFonts w:ascii="Arial" w:hAnsi="Arial" w:cs="Arial"/>
          <w:b/>
        </w:rPr>
        <w:t>–</w:t>
      </w:r>
      <w:r w:rsidR="007C39FC">
        <w:rPr>
          <w:rFonts w:ascii="Arial" w:hAnsi="Arial" w:cs="Arial"/>
          <w:b/>
        </w:rPr>
        <w:t xml:space="preserve"> investeringsbehov</w:t>
      </w:r>
      <w:r w:rsidR="00A72F71">
        <w:rPr>
          <w:rFonts w:ascii="Arial" w:hAnsi="Arial" w:cs="Arial"/>
          <w:b/>
        </w:rPr>
        <w:t xml:space="preserve"> og fullmakt</w:t>
      </w:r>
    </w:p>
    <w:p w14:paraId="7A5EEC03" w14:textId="77777777" w:rsidR="00397BE4" w:rsidRPr="008C5036" w:rsidRDefault="00397BE4" w:rsidP="008C5036">
      <w:pPr>
        <w:spacing w:after="0"/>
        <w:rPr>
          <w:rFonts w:ascii="Arial" w:hAnsi="Arial" w:cs="Arial"/>
          <w:b/>
        </w:rPr>
      </w:pPr>
    </w:p>
    <w:p w14:paraId="2A021A97" w14:textId="33B1CDFC" w:rsidR="00BC381B" w:rsidRDefault="007C39FC" w:rsidP="008C5036">
      <w:pPr>
        <w:spacing w:after="0"/>
        <w:rPr>
          <w:rFonts w:ascii="Arial" w:hAnsi="Arial" w:cs="Arial"/>
        </w:rPr>
      </w:pPr>
      <w:r>
        <w:rPr>
          <w:rFonts w:ascii="Arial" w:hAnsi="Arial" w:cs="Arial"/>
        </w:rPr>
        <w:t xml:space="preserve">Som styret har vært orientert om ved flere anledninger vil det være behov for en del investeringer i fellesarealene i 1. og 2. etasje i Pressens </w:t>
      </w:r>
      <w:r w:rsidR="00A907D4">
        <w:rPr>
          <w:rFonts w:ascii="Arial" w:hAnsi="Arial" w:cs="Arial"/>
        </w:rPr>
        <w:t>h</w:t>
      </w:r>
      <w:r>
        <w:rPr>
          <w:rFonts w:ascii="Arial" w:hAnsi="Arial" w:cs="Arial"/>
        </w:rPr>
        <w:t>us. Overleveringsdatoen er ikke skjøvet på, hvilket betyr at vi som utgangspunkt overtar bygget 15. februar. NR og NPs leiekontrakt i Rådhusgaten utløper 1. mars, hvilket betyr at vi vil være blant de første som får flytt</w:t>
      </w:r>
      <w:r w:rsidR="00A72F71">
        <w:rPr>
          <w:rFonts w:ascii="Arial" w:hAnsi="Arial" w:cs="Arial"/>
        </w:rPr>
        <w:t>e</w:t>
      </w:r>
      <w:r>
        <w:rPr>
          <w:rFonts w:ascii="Arial" w:hAnsi="Arial" w:cs="Arial"/>
        </w:rPr>
        <w:t xml:space="preserve"> inn i PH.</w:t>
      </w:r>
    </w:p>
    <w:p w14:paraId="26060994" w14:textId="50AA4A35" w:rsidR="007C39FC" w:rsidRDefault="007C39FC" w:rsidP="008C5036">
      <w:pPr>
        <w:spacing w:after="0"/>
        <w:rPr>
          <w:rFonts w:ascii="Arial" w:hAnsi="Arial" w:cs="Arial"/>
        </w:rPr>
      </w:pPr>
    </w:p>
    <w:p w14:paraId="2FEDAC1F" w14:textId="38AB5023" w:rsidR="007C39FC" w:rsidRDefault="007C39FC" w:rsidP="008C5036">
      <w:pPr>
        <w:spacing w:after="0"/>
        <w:rPr>
          <w:rFonts w:ascii="Arial" w:hAnsi="Arial" w:cs="Arial"/>
        </w:rPr>
      </w:pPr>
      <w:r>
        <w:rPr>
          <w:rFonts w:ascii="Arial" w:hAnsi="Arial" w:cs="Arial"/>
        </w:rPr>
        <w:t>Investeringsbehovene knytter seg til alt AV-utstyr som må på plass i lokalene i første etasje, for at både felles møterom og plenumssalen/kantinen skal fungere som lokaler for ulike arrangementer, og med muligheter for overføring/kringkasting, slik at vi når hele landet. I tillegg kommer møbler og annet utstyr både til møterom (ikke kantinen – den bekostes av utleier), samt møbler og utstyr til møterom og minglearealer i andre etasje.</w:t>
      </w:r>
    </w:p>
    <w:p w14:paraId="1F2E2961" w14:textId="48F63FD6" w:rsidR="007C39FC" w:rsidRDefault="007C39FC" w:rsidP="008C5036">
      <w:pPr>
        <w:spacing w:after="0"/>
        <w:rPr>
          <w:rFonts w:ascii="Arial" w:hAnsi="Arial" w:cs="Arial"/>
        </w:rPr>
      </w:pPr>
    </w:p>
    <w:p w14:paraId="29FBC72A" w14:textId="194D205E" w:rsidR="007C39FC" w:rsidRDefault="007C39FC" w:rsidP="008C5036">
      <w:pPr>
        <w:spacing w:after="0"/>
        <w:rPr>
          <w:rFonts w:ascii="Arial" w:hAnsi="Arial" w:cs="Arial"/>
        </w:rPr>
      </w:pPr>
      <w:r>
        <w:rPr>
          <w:rFonts w:ascii="Arial" w:hAnsi="Arial" w:cs="Arial"/>
        </w:rPr>
        <w:t>Sekretariatet har tidligere orientert om at det vil bli gjort forsøk på å innhente ekstern finansiering av det utstyret som kreves for å realisere den delen av PH som skal være utadrettet og beregnet ikke bare på bransjens egne arrangementer, men også på allmennheten. Så langt har det vist seg vanskelig</w:t>
      </w:r>
      <w:r w:rsidR="00276D30">
        <w:rPr>
          <w:rFonts w:ascii="Arial" w:hAnsi="Arial" w:cs="Arial"/>
        </w:rPr>
        <w:t xml:space="preserve"> å få støtte til investeringer i utstyr og infrastruktur. Det er </w:t>
      </w:r>
      <w:r w:rsidR="00A907D4">
        <w:rPr>
          <w:rFonts w:ascii="Arial" w:hAnsi="Arial" w:cs="Arial"/>
        </w:rPr>
        <w:t>trolig større</w:t>
      </w:r>
      <w:r w:rsidR="00276D30">
        <w:rPr>
          <w:rFonts w:ascii="Arial" w:hAnsi="Arial" w:cs="Arial"/>
        </w:rPr>
        <w:t xml:space="preserve"> muligheter for å få programstøtte til gjennomføring av konkrete arrangementer, og på den måten få bidrag til nedbetaling av investeringer i utstyr.</w:t>
      </w:r>
      <w:r w:rsidR="00A907D4">
        <w:rPr>
          <w:rFonts w:ascii="Arial" w:hAnsi="Arial" w:cs="Arial"/>
        </w:rPr>
        <w:t xml:space="preserve"> Dette er imidlertid høyst usikkert, og v</w:t>
      </w:r>
      <w:r w:rsidR="00276D30">
        <w:rPr>
          <w:rFonts w:ascii="Arial" w:hAnsi="Arial" w:cs="Arial"/>
        </w:rPr>
        <w:t xml:space="preserve">i har </w:t>
      </w:r>
      <w:r w:rsidR="00A907D4">
        <w:rPr>
          <w:rFonts w:ascii="Arial" w:hAnsi="Arial" w:cs="Arial"/>
        </w:rPr>
        <w:t>uansett</w:t>
      </w:r>
      <w:r w:rsidR="00276D30">
        <w:rPr>
          <w:rFonts w:ascii="Arial" w:hAnsi="Arial" w:cs="Arial"/>
        </w:rPr>
        <w:t xml:space="preserve"> behov for tilsagn om midler nå, fordi vi i disse dager må sette i bestilling både møbler og AV-utstyr for at dette garantert skal være på plass i tide.</w:t>
      </w:r>
    </w:p>
    <w:p w14:paraId="61125832" w14:textId="17CE557A" w:rsidR="00276D30" w:rsidRDefault="00276D30" w:rsidP="008C5036">
      <w:pPr>
        <w:spacing w:after="0"/>
        <w:rPr>
          <w:rFonts w:ascii="Arial" w:hAnsi="Arial" w:cs="Arial"/>
        </w:rPr>
      </w:pPr>
    </w:p>
    <w:p w14:paraId="61B1DE98" w14:textId="3EDF862C" w:rsidR="00276D30" w:rsidRDefault="00276D30" w:rsidP="008C5036">
      <w:pPr>
        <w:spacing w:after="0"/>
        <w:rPr>
          <w:rFonts w:ascii="Arial" w:hAnsi="Arial" w:cs="Arial"/>
        </w:rPr>
      </w:pPr>
      <w:r>
        <w:rPr>
          <w:rFonts w:ascii="Arial" w:hAnsi="Arial" w:cs="Arial"/>
        </w:rPr>
        <w:t>Sekretariatet har tidligere antydet at NR bør kunne stille substansielle midler til rådighet til slike investeringer. I løpet av de siste seks årene har vi bygget opp egenkapitalen fra 4,</w:t>
      </w:r>
      <w:r w:rsidR="00E11EF4">
        <w:rPr>
          <w:rFonts w:ascii="Arial" w:hAnsi="Arial" w:cs="Arial"/>
        </w:rPr>
        <w:t>6</w:t>
      </w:r>
      <w:r>
        <w:rPr>
          <w:rFonts w:ascii="Arial" w:hAnsi="Arial" w:cs="Arial"/>
        </w:rPr>
        <w:t xml:space="preserve"> millioner kroner, til 6,9 millioner kroner ved siste årsskifte. Vi har overfor styret antyde</w:t>
      </w:r>
      <w:r w:rsidR="00A907D4">
        <w:rPr>
          <w:rFonts w:ascii="Arial" w:hAnsi="Arial" w:cs="Arial"/>
        </w:rPr>
        <w:t>t</w:t>
      </w:r>
      <w:r>
        <w:rPr>
          <w:rFonts w:ascii="Arial" w:hAnsi="Arial" w:cs="Arial"/>
        </w:rPr>
        <w:t xml:space="preserve"> at NR bør kunne bidra med i størrelsesorden minst 500.000 kroner i investeringer ved innflytting til PH. Etter sekretariatets syn er dette noe av det mest meningsfulle vi kan bruke overskuddsmidler til. PH er et bygg og et prosjekt som vil komme hele bransjen til gode.</w:t>
      </w:r>
    </w:p>
    <w:p w14:paraId="65C1E11F" w14:textId="59E660F7" w:rsidR="00276D30" w:rsidRDefault="00276D30" w:rsidP="008C5036">
      <w:pPr>
        <w:spacing w:after="0"/>
        <w:rPr>
          <w:rFonts w:ascii="Arial" w:hAnsi="Arial" w:cs="Arial"/>
        </w:rPr>
      </w:pPr>
    </w:p>
    <w:p w14:paraId="7622C37C" w14:textId="202B1F87" w:rsidR="00276D30" w:rsidRDefault="00276D30" w:rsidP="008C5036">
      <w:pPr>
        <w:spacing w:after="0"/>
        <w:rPr>
          <w:rFonts w:ascii="Arial" w:hAnsi="Arial" w:cs="Arial"/>
        </w:rPr>
      </w:pPr>
      <w:r>
        <w:rPr>
          <w:rFonts w:ascii="Arial" w:hAnsi="Arial" w:cs="Arial"/>
        </w:rPr>
        <w:t xml:space="preserve">Finansieringsgruppen i PH, hvor </w:t>
      </w:r>
      <w:proofErr w:type="spellStart"/>
      <w:r>
        <w:rPr>
          <w:rFonts w:ascii="Arial" w:hAnsi="Arial" w:cs="Arial"/>
        </w:rPr>
        <w:t>NRs</w:t>
      </w:r>
      <w:proofErr w:type="spellEnd"/>
      <w:r>
        <w:rPr>
          <w:rFonts w:ascii="Arial" w:hAnsi="Arial" w:cs="Arial"/>
        </w:rPr>
        <w:t xml:space="preserve"> generalsekretær er medlem, har den siste tiden jobbet med å få på plass en fordeling av kostnader mellom de ulike organisasjonene</w:t>
      </w:r>
      <w:r w:rsidR="00B54696">
        <w:rPr>
          <w:rFonts w:ascii="Arial" w:hAnsi="Arial" w:cs="Arial"/>
        </w:rPr>
        <w:t xml:space="preserve">, på en måte som gir en mest mulig rettferdig fordeling og som alle kan akseptere. Det har gitt noen utfordringer, og det er først denne uken at alt ser ut til å falle på plass. </w:t>
      </w:r>
    </w:p>
    <w:p w14:paraId="51001826" w14:textId="0BAB4718" w:rsidR="00B54696" w:rsidRDefault="00B54696" w:rsidP="008C5036">
      <w:pPr>
        <w:spacing w:after="0"/>
        <w:rPr>
          <w:rFonts w:ascii="Arial" w:hAnsi="Arial" w:cs="Arial"/>
        </w:rPr>
      </w:pPr>
    </w:p>
    <w:p w14:paraId="53E2ADF8" w14:textId="1254EB48" w:rsidR="00B54696" w:rsidRDefault="00B54696" w:rsidP="00B54696">
      <w:pPr>
        <w:spacing w:after="0"/>
        <w:rPr>
          <w:rFonts w:ascii="Arial" w:hAnsi="Arial" w:cs="Arial"/>
        </w:rPr>
      </w:pPr>
      <w:r>
        <w:rPr>
          <w:rFonts w:ascii="Arial" w:hAnsi="Arial" w:cs="Arial"/>
        </w:rPr>
        <w:t xml:space="preserve">De totale forventede kostnadene som skal fordeles er på drøyt 3,9 millioner kroner. Kostnadsfordelingen, som fremgår av vedlagte notat fra Finansieringsgruppen, bygger på en deling av utgiftene til 1. og 2. etasje. Dette fordi NTB og Norsk Journalistlag ikke skal være med på fordelingen i 2. etasje, i og med at de ikke har kontorer der. </w:t>
      </w:r>
    </w:p>
    <w:p w14:paraId="6C96F999" w14:textId="76F2669A" w:rsidR="00B54696" w:rsidRDefault="00B54696" w:rsidP="00B54696">
      <w:pPr>
        <w:spacing w:after="0"/>
        <w:rPr>
          <w:rFonts w:ascii="Arial" w:hAnsi="Arial" w:cs="Arial"/>
        </w:rPr>
      </w:pPr>
    </w:p>
    <w:p w14:paraId="4C57243F" w14:textId="37FFFDAA" w:rsidR="00B54696" w:rsidRDefault="00B54696" w:rsidP="00B54696">
      <w:pPr>
        <w:spacing w:after="0"/>
        <w:rPr>
          <w:rFonts w:ascii="Arial" w:hAnsi="Arial" w:cs="Arial"/>
        </w:rPr>
      </w:pPr>
      <w:r>
        <w:rPr>
          <w:rFonts w:ascii="Arial" w:hAnsi="Arial" w:cs="Arial"/>
        </w:rPr>
        <w:t>Som det fremgår av notatet</w:t>
      </w:r>
      <w:r w:rsidR="00A907D4">
        <w:rPr>
          <w:rFonts w:ascii="Arial" w:hAnsi="Arial" w:cs="Arial"/>
        </w:rPr>
        <w:t>,</w:t>
      </w:r>
      <w:r>
        <w:rPr>
          <w:rFonts w:ascii="Arial" w:hAnsi="Arial" w:cs="Arial"/>
        </w:rPr>
        <w:t xml:space="preserve"> er det i første etasje lagt mest vekt på innmeldt</w:t>
      </w:r>
      <w:r w:rsidR="00A907D4">
        <w:rPr>
          <w:rFonts w:ascii="Arial" w:hAnsi="Arial" w:cs="Arial"/>
        </w:rPr>
        <w:t>,</w:t>
      </w:r>
      <w:r>
        <w:rPr>
          <w:rFonts w:ascii="Arial" w:hAnsi="Arial" w:cs="Arial"/>
        </w:rPr>
        <w:t xml:space="preserve"> forventet aktivitet fra den enkelte organisasjon og noe mindre på antall ansatte. For andre etasje, hvor det primært blir interne og mindre møter, er det lagt mest vekt på antall ansatte.</w:t>
      </w:r>
    </w:p>
    <w:p w14:paraId="6E46A928" w14:textId="3905BF32" w:rsidR="00B54696" w:rsidRDefault="00B54696" w:rsidP="00B54696">
      <w:pPr>
        <w:spacing w:after="0"/>
        <w:rPr>
          <w:rFonts w:ascii="Arial" w:hAnsi="Arial" w:cs="Arial"/>
        </w:rPr>
      </w:pPr>
    </w:p>
    <w:p w14:paraId="18F7A126" w14:textId="6CF72EAF" w:rsidR="00B54696" w:rsidRDefault="00B54696" w:rsidP="00B54696">
      <w:pPr>
        <w:spacing w:after="0"/>
        <w:rPr>
          <w:rFonts w:ascii="Arial" w:hAnsi="Arial" w:cs="Arial"/>
        </w:rPr>
      </w:pPr>
      <w:r>
        <w:rPr>
          <w:rFonts w:ascii="Arial" w:hAnsi="Arial" w:cs="Arial"/>
        </w:rPr>
        <w:t xml:space="preserve">For </w:t>
      </w:r>
      <w:proofErr w:type="spellStart"/>
      <w:r>
        <w:rPr>
          <w:rFonts w:ascii="Arial" w:hAnsi="Arial" w:cs="Arial"/>
        </w:rPr>
        <w:t>NRs</w:t>
      </w:r>
      <w:proofErr w:type="spellEnd"/>
      <w:r>
        <w:rPr>
          <w:rFonts w:ascii="Arial" w:hAnsi="Arial" w:cs="Arial"/>
        </w:rPr>
        <w:t xml:space="preserve"> del slår dette ut med en forventet investeringskostnad på kr 393</w:t>
      </w:r>
      <w:r w:rsidR="00A72F71">
        <w:rPr>
          <w:rFonts w:ascii="Arial" w:hAnsi="Arial" w:cs="Arial"/>
        </w:rPr>
        <w:t>.1</w:t>
      </w:r>
      <w:r>
        <w:rPr>
          <w:rFonts w:ascii="Arial" w:hAnsi="Arial" w:cs="Arial"/>
        </w:rPr>
        <w:t xml:space="preserve">05 kroner (eks </w:t>
      </w:r>
      <w:proofErr w:type="spellStart"/>
      <w:r>
        <w:rPr>
          <w:rFonts w:ascii="Arial" w:hAnsi="Arial" w:cs="Arial"/>
        </w:rPr>
        <w:t>mva</w:t>
      </w:r>
      <w:proofErr w:type="spellEnd"/>
      <w:r>
        <w:rPr>
          <w:rFonts w:ascii="Arial" w:hAnsi="Arial" w:cs="Arial"/>
        </w:rPr>
        <w:t xml:space="preserve">), noe som gir drøyt 490.000 kroner inkl. mva. Dette treffer altså godt i forhold til det som tidligere har vært kommunisert til styret og som styret ikke har meldt innsigelser til. Dersom vi </w:t>
      </w:r>
      <w:r>
        <w:rPr>
          <w:rFonts w:ascii="Arial" w:hAnsi="Arial" w:cs="Arial"/>
        </w:rPr>
        <w:lastRenderedPageBreak/>
        <w:t xml:space="preserve">aktiverer dette som en investering, så vil det gi årlige avskrivningskostnader på nesten kr 80.000 over fem år. </w:t>
      </w:r>
    </w:p>
    <w:p w14:paraId="3A1D9228" w14:textId="1B7CE692" w:rsidR="00B54696" w:rsidRDefault="00B54696" w:rsidP="00B54696">
      <w:pPr>
        <w:spacing w:after="0"/>
        <w:rPr>
          <w:rFonts w:ascii="Arial" w:hAnsi="Arial" w:cs="Arial"/>
        </w:rPr>
      </w:pPr>
    </w:p>
    <w:p w14:paraId="21A620F2" w14:textId="32117C79" w:rsidR="00B54696" w:rsidRDefault="00B54696" w:rsidP="00B54696">
      <w:pPr>
        <w:spacing w:after="0"/>
        <w:rPr>
          <w:rFonts w:ascii="Arial" w:hAnsi="Arial" w:cs="Arial"/>
        </w:rPr>
      </w:pPr>
      <w:r>
        <w:rPr>
          <w:rFonts w:ascii="Arial" w:hAnsi="Arial" w:cs="Arial"/>
        </w:rPr>
        <w:t xml:space="preserve">Selv om vi ikke har noen indikasjoner på at ikke den samlede kostnadsrammen </w:t>
      </w:r>
      <w:r w:rsidR="00A72F71">
        <w:rPr>
          <w:rFonts w:ascii="Arial" w:hAnsi="Arial" w:cs="Arial"/>
        </w:rPr>
        <w:t xml:space="preserve">på 3,9 millioner kroner vil holde, og at ikke de deltakende organisasjonene vil godta den skisserte kostnadsfordelingen, ønsker vi likevel å ha litt å gå på med hensyn til fullmakter i ukene som kommer. Vi ber derfor om at generalsekretæren får fullmakt til å forplikte NR til inntil kr 600.000 kroner i investeringer i fellesarealene i Pressens </w:t>
      </w:r>
      <w:r w:rsidR="00A907D4">
        <w:rPr>
          <w:rFonts w:ascii="Arial" w:hAnsi="Arial" w:cs="Arial"/>
        </w:rPr>
        <w:t>h</w:t>
      </w:r>
      <w:r w:rsidR="00A72F71">
        <w:rPr>
          <w:rFonts w:ascii="Arial" w:hAnsi="Arial" w:cs="Arial"/>
        </w:rPr>
        <w:t>us.</w:t>
      </w:r>
    </w:p>
    <w:p w14:paraId="2D42371B" w14:textId="6048E418" w:rsidR="00A72F71" w:rsidRDefault="00A72F71" w:rsidP="00B54696">
      <w:pPr>
        <w:spacing w:after="0"/>
        <w:rPr>
          <w:rFonts w:ascii="Arial" w:hAnsi="Arial" w:cs="Arial"/>
        </w:rPr>
      </w:pPr>
    </w:p>
    <w:p w14:paraId="67634C07" w14:textId="70FFB85B" w:rsidR="00A72F71" w:rsidRDefault="00A907D4" w:rsidP="00B54696">
      <w:pPr>
        <w:spacing w:after="0"/>
        <w:rPr>
          <w:rFonts w:ascii="Arial" w:hAnsi="Arial" w:cs="Arial"/>
        </w:rPr>
      </w:pPr>
      <w:r>
        <w:rPr>
          <w:rFonts w:ascii="Arial" w:hAnsi="Arial" w:cs="Arial"/>
        </w:rPr>
        <w:t>Årsaken</w:t>
      </w:r>
      <w:r w:rsidR="00A72F71">
        <w:rPr>
          <w:rFonts w:ascii="Arial" w:hAnsi="Arial" w:cs="Arial"/>
        </w:rPr>
        <w:t xml:space="preserve"> til at vi ikke kan avvente denne saken til styrets møte 11. november er at vi ønsker å gjøre bestillingene nå, slik at vi er sikre på at møbler ut utstyr er på plass til innflytting.</w:t>
      </w:r>
    </w:p>
    <w:p w14:paraId="24DAB592" w14:textId="77777777" w:rsidR="00BC381B" w:rsidRPr="008C5036" w:rsidRDefault="00BC381B" w:rsidP="008C5036">
      <w:pPr>
        <w:spacing w:after="0"/>
        <w:rPr>
          <w:rFonts w:ascii="Arial" w:hAnsi="Arial" w:cs="Arial"/>
        </w:rPr>
      </w:pPr>
    </w:p>
    <w:p w14:paraId="013C52E1" w14:textId="4806B089" w:rsidR="00777ECB" w:rsidRDefault="00501819" w:rsidP="00501819">
      <w:pPr>
        <w:spacing w:after="0"/>
        <w:rPr>
          <w:rFonts w:ascii="Arial" w:hAnsi="Arial" w:cs="Arial"/>
        </w:rPr>
      </w:pPr>
      <w:r w:rsidRPr="008C5036">
        <w:rPr>
          <w:rFonts w:ascii="Arial" w:hAnsi="Arial" w:cs="Arial"/>
          <w:u w:val="single"/>
        </w:rPr>
        <w:t>Forslag til vedtak:</w:t>
      </w:r>
      <w:r w:rsidRPr="008C5036">
        <w:rPr>
          <w:rFonts w:ascii="Arial" w:hAnsi="Arial" w:cs="Arial"/>
        </w:rPr>
        <w:t xml:space="preserve"> </w:t>
      </w:r>
      <w:r w:rsidR="00A72F71">
        <w:rPr>
          <w:rFonts w:ascii="Arial" w:hAnsi="Arial" w:cs="Arial"/>
        </w:rPr>
        <w:t xml:space="preserve">Generalsekretæren får fullmakt til å forplikte NR til investeringer på inntil kr 600.000 til utstyr og møbler til fellesarealene i 1. og 2. etasje i Pressens </w:t>
      </w:r>
      <w:r w:rsidR="00A907D4">
        <w:rPr>
          <w:rFonts w:ascii="Arial" w:hAnsi="Arial" w:cs="Arial"/>
        </w:rPr>
        <w:t>h</w:t>
      </w:r>
      <w:r w:rsidR="00A72F71">
        <w:rPr>
          <w:rFonts w:ascii="Arial" w:hAnsi="Arial" w:cs="Arial"/>
        </w:rPr>
        <w:t>us.</w:t>
      </w:r>
    </w:p>
    <w:p w14:paraId="19F3BAAC" w14:textId="77777777" w:rsidR="00A72F71" w:rsidRDefault="00A72F71" w:rsidP="00501819">
      <w:pPr>
        <w:spacing w:after="0"/>
        <w:rPr>
          <w:rFonts w:ascii="Arial" w:hAnsi="Arial" w:cs="Arial"/>
        </w:rPr>
      </w:pPr>
    </w:p>
    <w:p w14:paraId="0AFA1058" w14:textId="3651A458" w:rsidR="00777ECB" w:rsidRDefault="00777ECB" w:rsidP="00501819">
      <w:pPr>
        <w:spacing w:after="0"/>
        <w:rPr>
          <w:rFonts w:ascii="Arial" w:hAnsi="Arial" w:cs="Arial"/>
        </w:rPr>
      </w:pPr>
    </w:p>
    <w:p w14:paraId="751AA126" w14:textId="19A52618" w:rsidR="00777ECB" w:rsidRDefault="00777ECB" w:rsidP="00501819">
      <w:pPr>
        <w:spacing w:after="0"/>
        <w:rPr>
          <w:rFonts w:ascii="Arial" w:hAnsi="Arial" w:cs="Arial"/>
        </w:rPr>
      </w:pPr>
    </w:p>
    <w:p w14:paraId="6FB320C9" w14:textId="45FDB675" w:rsidR="00777ECB" w:rsidRDefault="00777ECB" w:rsidP="00501819">
      <w:pPr>
        <w:spacing w:after="0"/>
        <w:rPr>
          <w:rFonts w:ascii="Arial" w:hAnsi="Arial" w:cs="Arial"/>
        </w:rPr>
      </w:pPr>
    </w:p>
    <w:p w14:paraId="314D6EA9" w14:textId="149D2CCF" w:rsidR="00777ECB" w:rsidRDefault="00777ECB" w:rsidP="00501819">
      <w:pPr>
        <w:spacing w:after="0"/>
        <w:rPr>
          <w:rFonts w:ascii="Arial" w:hAnsi="Arial" w:cs="Arial"/>
        </w:rPr>
      </w:pPr>
    </w:p>
    <w:p w14:paraId="6CCCBBDE" w14:textId="0550161C" w:rsidR="000D4A44" w:rsidRDefault="000D4A44" w:rsidP="00501819">
      <w:pPr>
        <w:spacing w:after="0"/>
        <w:rPr>
          <w:rFonts w:ascii="Arial" w:hAnsi="Arial" w:cs="Arial"/>
        </w:rPr>
      </w:pPr>
    </w:p>
    <w:p w14:paraId="6C6CD75B" w14:textId="268EBE30" w:rsidR="000D4A44" w:rsidRDefault="000D4A44" w:rsidP="00501819">
      <w:pPr>
        <w:spacing w:after="0"/>
        <w:rPr>
          <w:rFonts w:ascii="Arial" w:hAnsi="Arial" w:cs="Arial"/>
        </w:rPr>
      </w:pPr>
    </w:p>
    <w:p w14:paraId="4D23024A" w14:textId="531BBC54" w:rsidR="000D4A44" w:rsidRDefault="000D4A44" w:rsidP="00501819">
      <w:pPr>
        <w:spacing w:after="0"/>
        <w:rPr>
          <w:rFonts w:ascii="Arial" w:hAnsi="Arial" w:cs="Arial"/>
        </w:rPr>
      </w:pPr>
    </w:p>
    <w:p w14:paraId="6A14CE7C" w14:textId="3B42616F" w:rsidR="000D4A44" w:rsidRDefault="000D4A44" w:rsidP="00501819">
      <w:pPr>
        <w:spacing w:after="0"/>
        <w:rPr>
          <w:rFonts w:ascii="Arial" w:hAnsi="Arial" w:cs="Arial"/>
        </w:rPr>
      </w:pPr>
    </w:p>
    <w:p w14:paraId="7CA0B8DC" w14:textId="3CE0D273" w:rsidR="000D4A44" w:rsidRDefault="000D4A44" w:rsidP="00501819">
      <w:pPr>
        <w:spacing w:after="0"/>
        <w:rPr>
          <w:rFonts w:ascii="Arial" w:hAnsi="Arial" w:cs="Arial"/>
        </w:rPr>
      </w:pPr>
    </w:p>
    <w:p w14:paraId="17F64971" w14:textId="5E6C2859" w:rsidR="000D4A44" w:rsidRDefault="000D4A44" w:rsidP="00501819">
      <w:pPr>
        <w:spacing w:after="0"/>
        <w:rPr>
          <w:rFonts w:ascii="Arial" w:hAnsi="Arial" w:cs="Arial"/>
        </w:rPr>
      </w:pPr>
    </w:p>
    <w:p w14:paraId="7654D64A" w14:textId="2FADCDAB" w:rsidR="000D4A44" w:rsidRDefault="000D4A44" w:rsidP="00501819">
      <w:pPr>
        <w:spacing w:after="0"/>
        <w:rPr>
          <w:rFonts w:ascii="Arial" w:hAnsi="Arial" w:cs="Arial"/>
        </w:rPr>
      </w:pPr>
    </w:p>
    <w:p w14:paraId="39B7EB78" w14:textId="5FD125F8" w:rsidR="000D4A44" w:rsidRDefault="000D4A44" w:rsidP="00501819">
      <w:pPr>
        <w:spacing w:after="0"/>
        <w:rPr>
          <w:rFonts w:ascii="Arial" w:hAnsi="Arial" w:cs="Arial"/>
        </w:rPr>
      </w:pPr>
    </w:p>
    <w:p w14:paraId="75AA90F4" w14:textId="2B87D621" w:rsidR="000D4A44" w:rsidRDefault="000D4A44" w:rsidP="00501819">
      <w:pPr>
        <w:spacing w:after="0"/>
        <w:rPr>
          <w:rFonts w:ascii="Arial" w:hAnsi="Arial" w:cs="Arial"/>
        </w:rPr>
      </w:pPr>
    </w:p>
    <w:p w14:paraId="152E82A3" w14:textId="3456681B" w:rsidR="000D4A44" w:rsidRDefault="000D4A44" w:rsidP="00501819">
      <w:pPr>
        <w:spacing w:after="0"/>
        <w:rPr>
          <w:rFonts w:ascii="Arial" w:hAnsi="Arial" w:cs="Arial"/>
        </w:rPr>
      </w:pPr>
    </w:p>
    <w:p w14:paraId="71E492D2" w14:textId="68E17946" w:rsidR="000D4A44" w:rsidRDefault="000D4A44" w:rsidP="00501819">
      <w:pPr>
        <w:spacing w:after="0"/>
        <w:rPr>
          <w:rFonts w:ascii="Arial" w:hAnsi="Arial" w:cs="Arial"/>
        </w:rPr>
      </w:pPr>
    </w:p>
    <w:p w14:paraId="2CF65D5B" w14:textId="02682742" w:rsidR="000D4A44" w:rsidRDefault="000D4A44" w:rsidP="00501819">
      <w:pPr>
        <w:spacing w:after="0"/>
        <w:rPr>
          <w:rFonts w:ascii="Arial" w:hAnsi="Arial" w:cs="Arial"/>
        </w:rPr>
      </w:pPr>
    </w:p>
    <w:p w14:paraId="70B6AF1E" w14:textId="2B690F2F" w:rsidR="000D4A44" w:rsidRDefault="000D4A44" w:rsidP="00501819">
      <w:pPr>
        <w:spacing w:after="0"/>
        <w:rPr>
          <w:rFonts w:ascii="Arial" w:hAnsi="Arial" w:cs="Arial"/>
        </w:rPr>
      </w:pPr>
    </w:p>
    <w:p w14:paraId="78783D3C" w14:textId="37D22BB8" w:rsidR="000D4A44" w:rsidRDefault="000D4A44" w:rsidP="00501819">
      <w:pPr>
        <w:spacing w:after="0"/>
        <w:rPr>
          <w:rFonts w:ascii="Arial" w:hAnsi="Arial" w:cs="Arial"/>
        </w:rPr>
      </w:pPr>
    </w:p>
    <w:p w14:paraId="14E414AD" w14:textId="0CF9FABB" w:rsidR="000D4A44" w:rsidRDefault="000D4A44" w:rsidP="00501819">
      <w:pPr>
        <w:spacing w:after="0"/>
        <w:rPr>
          <w:rFonts w:ascii="Arial" w:hAnsi="Arial" w:cs="Arial"/>
        </w:rPr>
      </w:pPr>
    </w:p>
    <w:p w14:paraId="6D148F27" w14:textId="48C4C65A" w:rsidR="000D4A44" w:rsidRDefault="000D4A44" w:rsidP="00501819">
      <w:pPr>
        <w:spacing w:after="0"/>
        <w:rPr>
          <w:rFonts w:ascii="Arial" w:hAnsi="Arial" w:cs="Arial"/>
        </w:rPr>
      </w:pPr>
    </w:p>
    <w:p w14:paraId="3FFA35D9" w14:textId="7CF0A6C9" w:rsidR="000D4A44" w:rsidRDefault="000D4A44" w:rsidP="00501819">
      <w:pPr>
        <w:spacing w:after="0"/>
        <w:rPr>
          <w:rFonts w:ascii="Arial" w:hAnsi="Arial" w:cs="Arial"/>
        </w:rPr>
      </w:pPr>
    </w:p>
    <w:p w14:paraId="373B6EDF" w14:textId="7E19329B" w:rsidR="000D4A44" w:rsidRDefault="000D4A44" w:rsidP="00501819">
      <w:pPr>
        <w:spacing w:after="0"/>
        <w:rPr>
          <w:rFonts w:ascii="Arial" w:hAnsi="Arial" w:cs="Arial"/>
        </w:rPr>
      </w:pPr>
    </w:p>
    <w:p w14:paraId="27B75D18" w14:textId="407B3411" w:rsidR="000D4A44" w:rsidRDefault="000D4A44" w:rsidP="00501819">
      <w:pPr>
        <w:spacing w:after="0"/>
        <w:rPr>
          <w:rFonts w:ascii="Arial" w:hAnsi="Arial" w:cs="Arial"/>
        </w:rPr>
      </w:pPr>
    </w:p>
    <w:p w14:paraId="51893B8E" w14:textId="18BE8616" w:rsidR="000D4A44" w:rsidRDefault="000D4A44" w:rsidP="00501819">
      <w:pPr>
        <w:spacing w:after="0"/>
        <w:rPr>
          <w:rFonts w:ascii="Arial" w:hAnsi="Arial" w:cs="Arial"/>
        </w:rPr>
      </w:pPr>
    </w:p>
    <w:p w14:paraId="602AC91D" w14:textId="6472568B" w:rsidR="000D4A44" w:rsidRDefault="000D4A44" w:rsidP="00501819">
      <w:pPr>
        <w:spacing w:after="0"/>
        <w:rPr>
          <w:rFonts w:ascii="Arial" w:hAnsi="Arial" w:cs="Arial"/>
        </w:rPr>
      </w:pPr>
    </w:p>
    <w:p w14:paraId="116EF9C0" w14:textId="696FF9C3" w:rsidR="000D4A44" w:rsidRDefault="000D4A44" w:rsidP="00501819">
      <w:pPr>
        <w:spacing w:after="0"/>
        <w:rPr>
          <w:rFonts w:ascii="Arial" w:hAnsi="Arial" w:cs="Arial"/>
        </w:rPr>
      </w:pPr>
    </w:p>
    <w:p w14:paraId="07CDA4D4" w14:textId="77391D92" w:rsidR="000D4A44" w:rsidRDefault="000D4A44" w:rsidP="00501819">
      <w:pPr>
        <w:spacing w:after="0"/>
        <w:rPr>
          <w:rFonts w:ascii="Arial" w:hAnsi="Arial" w:cs="Arial"/>
        </w:rPr>
      </w:pPr>
    </w:p>
    <w:p w14:paraId="653071F5" w14:textId="0E90B107" w:rsidR="000D4A44" w:rsidRDefault="000D4A44" w:rsidP="00501819">
      <w:pPr>
        <w:spacing w:after="0"/>
        <w:rPr>
          <w:rFonts w:ascii="Arial" w:hAnsi="Arial" w:cs="Arial"/>
        </w:rPr>
      </w:pPr>
    </w:p>
    <w:p w14:paraId="5FE41808" w14:textId="4C7AD77A" w:rsidR="000D4A44" w:rsidRDefault="000D4A44" w:rsidP="00501819">
      <w:pPr>
        <w:spacing w:after="0"/>
        <w:rPr>
          <w:rFonts w:ascii="Arial" w:hAnsi="Arial" w:cs="Arial"/>
        </w:rPr>
      </w:pPr>
    </w:p>
    <w:p w14:paraId="1FA944BB" w14:textId="3BBE7281" w:rsidR="000D4A44" w:rsidRDefault="000D4A44" w:rsidP="00501819">
      <w:pPr>
        <w:spacing w:after="0"/>
        <w:rPr>
          <w:rFonts w:ascii="Arial" w:hAnsi="Arial" w:cs="Arial"/>
        </w:rPr>
      </w:pPr>
    </w:p>
    <w:p w14:paraId="143B9E06" w14:textId="4E2A19E1" w:rsidR="000D4A44" w:rsidRDefault="000D4A44" w:rsidP="00501819">
      <w:pPr>
        <w:spacing w:after="0"/>
        <w:rPr>
          <w:rFonts w:ascii="Arial" w:hAnsi="Arial" w:cs="Arial"/>
        </w:rPr>
      </w:pPr>
    </w:p>
    <w:p w14:paraId="402FB470" w14:textId="012A1584" w:rsidR="000D4A44" w:rsidRDefault="000D4A44" w:rsidP="00501819">
      <w:pPr>
        <w:spacing w:after="0"/>
        <w:rPr>
          <w:rFonts w:ascii="Arial" w:hAnsi="Arial" w:cs="Arial"/>
        </w:rPr>
      </w:pPr>
    </w:p>
    <w:p w14:paraId="468820D9" w14:textId="6F611200" w:rsidR="000D4A44" w:rsidRDefault="000D4A44" w:rsidP="00501819">
      <w:pPr>
        <w:spacing w:after="0"/>
        <w:rPr>
          <w:rFonts w:ascii="Arial" w:hAnsi="Arial" w:cs="Arial"/>
        </w:rPr>
      </w:pPr>
    </w:p>
    <w:p w14:paraId="79FC8840" w14:textId="680401FF" w:rsidR="000D4A44" w:rsidRDefault="000D4A44" w:rsidP="00501819">
      <w:pPr>
        <w:spacing w:after="0"/>
        <w:rPr>
          <w:rFonts w:ascii="Arial" w:hAnsi="Arial" w:cs="Arial"/>
        </w:rPr>
      </w:pPr>
    </w:p>
    <w:p w14:paraId="7CCD927D" w14:textId="7579B31A" w:rsidR="000D4A44" w:rsidRDefault="000D4A44" w:rsidP="00501819">
      <w:pPr>
        <w:spacing w:after="0"/>
        <w:rPr>
          <w:rFonts w:ascii="Arial" w:hAnsi="Arial" w:cs="Arial"/>
        </w:rPr>
      </w:pPr>
    </w:p>
    <w:p w14:paraId="628EF5AA" w14:textId="389BEB6D" w:rsidR="000D4A44" w:rsidRDefault="000D4A44" w:rsidP="000D4A44">
      <w:pPr>
        <w:spacing w:after="0"/>
        <w:rPr>
          <w:color w:val="000000"/>
        </w:rPr>
      </w:pPr>
    </w:p>
    <w:p w14:paraId="50A3787B" w14:textId="2A51F641" w:rsidR="00A72F71" w:rsidRDefault="00A72F71" w:rsidP="000D4A44">
      <w:pPr>
        <w:spacing w:after="0"/>
        <w:rPr>
          <w:color w:val="000000"/>
        </w:rPr>
      </w:pPr>
    </w:p>
    <w:p w14:paraId="109EB861" w14:textId="77777777" w:rsidR="00A72F71" w:rsidRPr="00A72F71" w:rsidRDefault="00A72F71" w:rsidP="00A72F71">
      <w:pPr>
        <w:pStyle w:val="Overskrift1"/>
        <w:rPr>
          <w:rFonts w:asciiTheme="minorHAnsi" w:eastAsia="Times New Roman" w:hAnsiTheme="minorHAnsi" w:cstheme="minorHAnsi"/>
          <w:b/>
          <w:bCs/>
        </w:rPr>
      </w:pPr>
      <w:r w:rsidRPr="00A72F71">
        <w:rPr>
          <w:rFonts w:asciiTheme="minorHAnsi" w:eastAsia="Times New Roman" w:hAnsiTheme="minorHAnsi" w:cstheme="minorHAnsi"/>
          <w:b/>
          <w:bCs/>
        </w:rPr>
        <w:t xml:space="preserve">Pressens hus: </w:t>
      </w:r>
    </w:p>
    <w:p w14:paraId="34142905" w14:textId="77777777" w:rsidR="00A72F71" w:rsidRPr="00A72F71" w:rsidRDefault="00A72F71" w:rsidP="00A72F71">
      <w:pPr>
        <w:pStyle w:val="Overskrift1"/>
        <w:rPr>
          <w:rFonts w:asciiTheme="minorHAnsi" w:eastAsia="Times New Roman" w:hAnsiTheme="minorHAnsi" w:cstheme="minorHAnsi"/>
          <w:b/>
          <w:bCs/>
        </w:rPr>
      </w:pPr>
      <w:r w:rsidRPr="00A72F71">
        <w:rPr>
          <w:rFonts w:asciiTheme="minorHAnsi" w:eastAsia="Times New Roman" w:hAnsiTheme="minorHAnsi" w:cstheme="minorHAnsi"/>
          <w:b/>
          <w:bCs/>
        </w:rPr>
        <w:t>Fordeling av kostnader til AV-utstyr og møbler i fellesområdene</w:t>
      </w:r>
    </w:p>
    <w:p w14:paraId="04767F1C" w14:textId="77777777" w:rsidR="00A72F71" w:rsidRPr="00A72F71" w:rsidRDefault="00A72F71" w:rsidP="00A72F71">
      <w:pPr>
        <w:rPr>
          <w:rFonts w:eastAsia="Times New Roman" w:cstheme="minorHAnsi"/>
          <w:b/>
          <w:bCs/>
        </w:rPr>
      </w:pPr>
    </w:p>
    <w:p w14:paraId="50F703ED" w14:textId="77777777" w:rsidR="00A72F71" w:rsidRPr="00A72F71" w:rsidRDefault="00A72F71" w:rsidP="00A72F71">
      <w:pPr>
        <w:rPr>
          <w:rFonts w:eastAsia="Times New Roman" w:cstheme="minorHAnsi"/>
        </w:rPr>
      </w:pPr>
      <w:r w:rsidRPr="00A72F71">
        <w:rPr>
          <w:rFonts w:eastAsia="Times New Roman" w:cstheme="minorHAnsi"/>
        </w:rPr>
        <w:t>Finansieringsgruppa har etter møte i styringsgruppa 5. oktober fått i oppgave å vurdere fordelingen av kostnader til investeringer i fellesområdene i første og annen etasje i Pressens hus (</w:t>
      </w:r>
      <w:proofErr w:type="spellStart"/>
      <w:r w:rsidRPr="00A72F71">
        <w:rPr>
          <w:rFonts w:eastAsia="Times New Roman" w:cstheme="minorHAnsi"/>
        </w:rPr>
        <w:t>Ph</w:t>
      </w:r>
      <w:proofErr w:type="spellEnd"/>
      <w:r w:rsidRPr="00A72F71">
        <w:rPr>
          <w:rFonts w:eastAsia="Times New Roman" w:cstheme="minorHAnsi"/>
        </w:rPr>
        <w:t xml:space="preserve">). Forslaget som følger er et omforent forslag fra finanseringsgruppa, og baserer seg på vekting av de ulike leietakernes aktivitet, møter og antall ansatte. </w:t>
      </w:r>
    </w:p>
    <w:p w14:paraId="57B2D619" w14:textId="77777777" w:rsidR="00A72F71" w:rsidRPr="00A72F71" w:rsidRDefault="00A72F71" w:rsidP="00A72F71">
      <w:pPr>
        <w:rPr>
          <w:rFonts w:eastAsia="Times New Roman" w:cstheme="minorHAnsi"/>
        </w:rPr>
      </w:pPr>
      <w:r w:rsidRPr="00A72F71">
        <w:rPr>
          <w:rFonts w:eastAsia="Times New Roman" w:cstheme="minorHAnsi"/>
        </w:rPr>
        <w:t xml:space="preserve">Som det ble orientert om 5. oktober har det ikke lykkes å få noen av de eksterne stiftelsene/fondene til å bidra til selve infrastrukturen i </w:t>
      </w:r>
      <w:proofErr w:type="spellStart"/>
      <w:r w:rsidRPr="00A72F71">
        <w:rPr>
          <w:rFonts w:eastAsia="Times New Roman" w:cstheme="minorHAnsi"/>
        </w:rPr>
        <w:t>Ph</w:t>
      </w:r>
      <w:proofErr w:type="spellEnd"/>
      <w:r w:rsidRPr="00A72F71">
        <w:rPr>
          <w:rFonts w:eastAsia="Times New Roman" w:cstheme="minorHAnsi"/>
        </w:rPr>
        <w:t xml:space="preserve">. Det betyr at vi må kunne forplikte </w:t>
      </w:r>
      <w:proofErr w:type="spellStart"/>
      <w:r w:rsidRPr="00A72F71">
        <w:rPr>
          <w:rFonts w:eastAsia="Times New Roman" w:cstheme="minorHAnsi"/>
        </w:rPr>
        <w:t>Ph</w:t>
      </w:r>
      <w:proofErr w:type="spellEnd"/>
      <w:r w:rsidRPr="00A72F71">
        <w:rPr>
          <w:rFonts w:eastAsia="Times New Roman" w:cstheme="minorHAnsi"/>
        </w:rPr>
        <w:t xml:space="preserve"> til å gjøre nødvendige innkjøp, i tråd med kostnadene til fellesområder i de to etasjene.</w:t>
      </w:r>
    </w:p>
    <w:p w14:paraId="74A827F9" w14:textId="77777777" w:rsidR="00A72F71" w:rsidRPr="00A72F71" w:rsidRDefault="00A72F71" w:rsidP="00A72F71">
      <w:pPr>
        <w:rPr>
          <w:rFonts w:eastAsia="Times New Roman" w:cstheme="minorHAnsi"/>
        </w:rPr>
      </w:pPr>
      <w:r w:rsidRPr="00A72F71">
        <w:rPr>
          <w:rFonts w:eastAsia="Times New Roman" w:cstheme="minorHAnsi"/>
        </w:rPr>
        <w:t xml:space="preserve">Investeringsbeløpet går til innkjøp av møbler og AV-utstyr til alle fellesarealene i de to etasjene. Det betyr innkjøp til møterom, allrom (gårdeier tar kostnadene til møblering av allrom), resepsjon, torget med utstillingsmuligheter, sosiale soner, fleksible arbeidsplasser og podkast/fotostudioer. Se møbleringsplanen med ulike møterom og sosiale soner vedlagt. </w:t>
      </w:r>
    </w:p>
    <w:p w14:paraId="471C8DBB" w14:textId="77777777" w:rsidR="00A72F71" w:rsidRPr="00A72F71" w:rsidRDefault="00A72F71" w:rsidP="00A72F71">
      <w:pPr>
        <w:rPr>
          <w:rFonts w:eastAsia="Times New Roman" w:cstheme="minorHAnsi"/>
        </w:rPr>
      </w:pPr>
      <w:r w:rsidRPr="00A72F71">
        <w:rPr>
          <w:rFonts w:eastAsia="Times New Roman" w:cstheme="minorHAnsi"/>
        </w:rPr>
        <w:t xml:space="preserve">I forslaget legger vi til grunn ulik vurdering av første og andre etasje. Totalt vil vi gjøre investeringer for </w:t>
      </w:r>
      <w:r w:rsidRPr="00A72F71">
        <w:rPr>
          <w:rFonts w:eastAsia="Times New Roman" w:cstheme="minorHAnsi"/>
          <w:b/>
          <w:bCs/>
        </w:rPr>
        <w:t>3,9 millioner</w:t>
      </w:r>
      <w:r w:rsidRPr="00A72F71">
        <w:rPr>
          <w:rFonts w:eastAsia="Times New Roman" w:cstheme="minorHAnsi"/>
        </w:rPr>
        <w:t xml:space="preserve"> i fellesområdene. Merk at dette er et estimat. </w:t>
      </w:r>
    </w:p>
    <w:p w14:paraId="2D76073E" w14:textId="77777777" w:rsidR="00A72F71" w:rsidRPr="00A72F71" w:rsidRDefault="00A72F71" w:rsidP="00A72F71">
      <w:pPr>
        <w:rPr>
          <w:rFonts w:eastAsia="Times New Roman" w:cstheme="minorHAnsi"/>
        </w:rPr>
      </w:pPr>
    </w:p>
    <w:p w14:paraId="240093DE" w14:textId="77777777" w:rsidR="00A72F71" w:rsidRPr="00A72F71" w:rsidRDefault="00A72F71" w:rsidP="00A72F71">
      <w:pPr>
        <w:pStyle w:val="Overskrift2"/>
        <w:rPr>
          <w:rFonts w:asciiTheme="minorHAnsi" w:eastAsia="Times New Roman" w:hAnsiTheme="minorHAnsi" w:cstheme="minorHAnsi"/>
          <w:b/>
          <w:bCs/>
        </w:rPr>
      </w:pPr>
      <w:r w:rsidRPr="00A72F71">
        <w:rPr>
          <w:rFonts w:asciiTheme="minorHAnsi" w:eastAsia="Times New Roman" w:hAnsiTheme="minorHAnsi" w:cstheme="minorHAnsi"/>
          <w:b/>
          <w:bCs/>
        </w:rPr>
        <w:t>Første etasje</w:t>
      </w:r>
    </w:p>
    <w:p w14:paraId="453563EB" w14:textId="77777777" w:rsidR="00A72F71" w:rsidRPr="00A72F71" w:rsidRDefault="00A72F71" w:rsidP="00A72F71">
      <w:pPr>
        <w:rPr>
          <w:rFonts w:eastAsia="Times New Roman" w:cstheme="minorHAnsi"/>
        </w:rPr>
      </w:pPr>
      <w:r w:rsidRPr="00A72F71">
        <w:rPr>
          <w:rFonts w:eastAsia="Times New Roman" w:cstheme="minorHAnsi"/>
        </w:rPr>
        <w:t xml:space="preserve">Dette er etasjen der det meste av den eksterne aktiviteten vil foregå. Her er allrommet Ytring, Torget, en rekke møterom, samt de ulike studioene plassert – og rommene har plass til flere personer enn oppover i etasjene. </w:t>
      </w:r>
    </w:p>
    <w:p w14:paraId="2C471806" w14:textId="77777777" w:rsidR="00A72F71" w:rsidRPr="00A72F71" w:rsidRDefault="00A72F71" w:rsidP="00A72F71">
      <w:pPr>
        <w:rPr>
          <w:rFonts w:eastAsia="Times New Roman" w:cstheme="minorHAnsi"/>
        </w:rPr>
      </w:pPr>
      <w:r w:rsidRPr="00A72F71">
        <w:rPr>
          <w:rFonts w:eastAsia="Times New Roman" w:cstheme="minorHAnsi"/>
        </w:rPr>
        <w:t xml:space="preserve">Disse investeringene skal fordeles på 11 leietakere – altså alle leietakerne på huset. Vi foreslår følgende variabler: </w:t>
      </w:r>
    </w:p>
    <w:p w14:paraId="3E715600" w14:textId="77777777" w:rsidR="00A72F71" w:rsidRPr="00A72F71" w:rsidRDefault="00A72F71" w:rsidP="00A72F71">
      <w:pPr>
        <w:pStyle w:val="Listeavsnitt"/>
        <w:numPr>
          <w:ilvl w:val="0"/>
          <w:numId w:val="48"/>
        </w:numPr>
        <w:spacing w:after="0" w:line="240" w:lineRule="auto"/>
        <w:rPr>
          <w:rFonts w:eastAsia="Times New Roman" w:cstheme="minorHAnsi"/>
        </w:rPr>
      </w:pPr>
      <w:r w:rsidRPr="00A72F71">
        <w:rPr>
          <w:rFonts w:eastAsia="Times New Roman" w:cstheme="minorHAnsi"/>
        </w:rPr>
        <w:t>60 % basert på forventet aktivitet, møter og arrangementer (slik de enkelte leietakerne har meldt inn)</w:t>
      </w:r>
    </w:p>
    <w:p w14:paraId="1CFD2434" w14:textId="77777777" w:rsidR="00A72F71" w:rsidRPr="00A72F71" w:rsidRDefault="00A72F71" w:rsidP="00A72F71">
      <w:pPr>
        <w:pStyle w:val="Listeavsnitt"/>
        <w:numPr>
          <w:ilvl w:val="0"/>
          <w:numId w:val="48"/>
        </w:numPr>
        <w:spacing w:after="0" w:line="240" w:lineRule="auto"/>
        <w:rPr>
          <w:rFonts w:eastAsia="Times New Roman" w:cstheme="minorHAnsi"/>
        </w:rPr>
      </w:pPr>
      <w:r w:rsidRPr="00A72F71">
        <w:rPr>
          <w:rFonts w:eastAsia="Times New Roman" w:cstheme="minorHAnsi"/>
        </w:rPr>
        <w:t>34 % basert på antall ansatte</w:t>
      </w:r>
    </w:p>
    <w:p w14:paraId="3662AF70" w14:textId="77777777" w:rsidR="00A72F71" w:rsidRPr="00A72F71" w:rsidRDefault="00A72F71" w:rsidP="00A72F71">
      <w:pPr>
        <w:pStyle w:val="Listeavsnitt"/>
        <w:numPr>
          <w:ilvl w:val="0"/>
          <w:numId w:val="48"/>
        </w:numPr>
        <w:spacing w:after="0" w:line="240" w:lineRule="auto"/>
        <w:rPr>
          <w:rFonts w:eastAsia="Times New Roman" w:cstheme="minorHAnsi"/>
        </w:rPr>
      </w:pPr>
      <w:r w:rsidRPr="00A72F71">
        <w:rPr>
          <w:rFonts w:eastAsia="Times New Roman" w:cstheme="minorHAnsi"/>
        </w:rPr>
        <w:t xml:space="preserve">6 % er påslag for store arrangementer i allrommet. </w:t>
      </w:r>
    </w:p>
    <w:p w14:paraId="7C235C41" w14:textId="77777777" w:rsidR="00A72F71" w:rsidRPr="00A72F71" w:rsidRDefault="00A72F71" w:rsidP="00A72F71">
      <w:pPr>
        <w:rPr>
          <w:rFonts w:eastAsia="Times New Roman" w:cstheme="minorHAnsi"/>
        </w:rPr>
      </w:pPr>
    </w:p>
    <w:p w14:paraId="7397161C" w14:textId="77777777" w:rsidR="00A72F71" w:rsidRPr="00A72F71" w:rsidRDefault="00A72F71" w:rsidP="00A72F71">
      <w:pPr>
        <w:pStyle w:val="Overskrift2"/>
        <w:rPr>
          <w:rFonts w:asciiTheme="minorHAnsi" w:eastAsia="Times New Roman" w:hAnsiTheme="minorHAnsi" w:cstheme="minorHAnsi"/>
          <w:b/>
          <w:bCs/>
        </w:rPr>
      </w:pPr>
      <w:r w:rsidRPr="00A72F71">
        <w:rPr>
          <w:rFonts w:asciiTheme="minorHAnsi" w:eastAsia="Times New Roman" w:hAnsiTheme="minorHAnsi" w:cstheme="minorHAnsi"/>
          <w:b/>
          <w:bCs/>
        </w:rPr>
        <w:t>Andre etasje</w:t>
      </w:r>
    </w:p>
    <w:p w14:paraId="063821B1" w14:textId="77777777" w:rsidR="00A72F71" w:rsidRPr="00A72F71" w:rsidRDefault="00A72F71" w:rsidP="00A72F71">
      <w:pPr>
        <w:rPr>
          <w:rFonts w:eastAsia="Times New Roman" w:cstheme="minorHAnsi"/>
        </w:rPr>
      </w:pPr>
      <w:r w:rsidRPr="00A72F71">
        <w:rPr>
          <w:rFonts w:eastAsia="Times New Roman" w:cstheme="minorHAnsi"/>
        </w:rPr>
        <w:t xml:space="preserve">Fellesområdene i denne etasjen består av syv møterom + sosial sone, og kostnadene fordeles på ni organisasjoner, alle unntatt NJ og NTB. Her er det mer krevende å innføre aktivitet som en variabel, fordi det her legges opp til mange interne møter som vi i liten grad har innsikt i. De syv møterommene har kapasitet fra 2-14 personer. </w:t>
      </w:r>
    </w:p>
    <w:p w14:paraId="32713DF9" w14:textId="77777777" w:rsidR="00A72F71" w:rsidRPr="00A72F71" w:rsidRDefault="00A72F71" w:rsidP="00A72F71">
      <w:pPr>
        <w:rPr>
          <w:rFonts w:eastAsia="Times New Roman" w:cstheme="minorHAnsi"/>
        </w:rPr>
      </w:pPr>
      <w:r w:rsidRPr="00A72F71">
        <w:rPr>
          <w:rFonts w:eastAsia="Times New Roman" w:cstheme="minorHAnsi"/>
        </w:rPr>
        <w:t xml:space="preserve">I forslaget legger vi til grunn at ansatte i de ni organisasjonene har en viss møteaktivitet, samt at vi også her vekter antall ansatte i organisasjonene. Til møblering og av i andre </w:t>
      </w:r>
      <w:proofErr w:type="spellStart"/>
      <w:r w:rsidRPr="00A72F71">
        <w:rPr>
          <w:rFonts w:eastAsia="Times New Roman" w:cstheme="minorHAnsi"/>
        </w:rPr>
        <w:t>etg</w:t>
      </w:r>
      <w:proofErr w:type="spellEnd"/>
      <w:r w:rsidRPr="00A72F71">
        <w:rPr>
          <w:rFonts w:eastAsia="Times New Roman" w:cstheme="minorHAnsi"/>
        </w:rPr>
        <w:t xml:space="preserve">. søker vi ikke ekstern støtte, fordi disse kostnadene i hovedsak ikke vil følges av ekstern og utadrettet aktivitet. </w:t>
      </w:r>
    </w:p>
    <w:p w14:paraId="21ED50BD" w14:textId="77777777" w:rsidR="00A72F71" w:rsidRPr="00A72F71" w:rsidRDefault="00A72F71" w:rsidP="00A72F71">
      <w:pPr>
        <w:rPr>
          <w:rFonts w:eastAsia="Times New Roman" w:cstheme="minorHAnsi"/>
        </w:rPr>
      </w:pPr>
    </w:p>
    <w:p w14:paraId="1D00E655" w14:textId="62AD0031" w:rsidR="00A72F71" w:rsidRPr="00A72F71" w:rsidRDefault="00A72F71" w:rsidP="00A72F71">
      <w:pPr>
        <w:rPr>
          <w:rFonts w:cstheme="minorHAnsi"/>
          <w:b/>
          <w:bCs/>
        </w:rPr>
      </w:pPr>
      <w:r w:rsidRPr="00A72F71">
        <w:rPr>
          <w:rFonts w:eastAsia="Times New Roman" w:cstheme="minorHAnsi"/>
        </w:rPr>
        <w:lastRenderedPageBreak/>
        <w:t xml:space="preserve">Fordelingen av kostnader ser da slik ut. Merk at dette er ekskl. mva. </w:t>
      </w:r>
    </w:p>
    <w:p w14:paraId="43C8573D" w14:textId="77777777" w:rsidR="00A72F71" w:rsidRPr="00A72F71" w:rsidRDefault="00A72F71" w:rsidP="00A72F71">
      <w:pPr>
        <w:rPr>
          <w:rFonts w:cstheme="minorHAnsi"/>
          <w:sz w:val="20"/>
          <w:szCs w:val="20"/>
        </w:rPr>
      </w:pPr>
    </w:p>
    <w:tbl>
      <w:tblPr>
        <w:tblW w:w="6820" w:type="dxa"/>
        <w:tblCellMar>
          <w:left w:w="0" w:type="dxa"/>
          <w:right w:w="0" w:type="dxa"/>
        </w:tblCellMar>
        <w:tblLook w:val="04A0" w:firstRow="1" w:lastRow="0" w:firstColumn="1" w:lastColumn="0" w:noHBand="0" w:noVBand="1"/>
      </w:tblPr>
      <w:tblGrid>
        <w:gridCol w:w="1528"/>
        <w:gridCol w:w="1292"/>
        <w:gridCol w:w="1180"/>
        <w:gridCol w:w="1300"/>
        <w:gridCol w:w="1520"/>
      </w:tblGrid>
      <w:tr w:rsidR="00A72F71" w:rsidRPr="00A72F71" w14:paraId="71637D31" w14:textId="77777777" w:rsidTr="00742AEE">
        <w:trPr>
          <w:trHeight w:val="315"/>
        </w:trPr>
        <w:tc>
          <w:tcPr>
            <w:tcW w:w="282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7C79C5E" w14:textId="77777777" w:rsidR="00A72F71" w:rsidRPr="00A72F71" w:rsidRDefault="00A72F71" w:rsidP="00742AEE">
            <w:pPr>
              <w:rPr>
                <w:rFonts w:cstheme="minorHAnsi"/>
                <w:b/>
                <w:bCs/>
              </w:rPr>
            </w:pPr>
            <w:r w:rsidRPr="00A72F71">
              <w:rPr>
                <w:rFonts w:cstheme="minorHAnsi"/>
                <w:b/>
                <w:bCs/>
              </w:rPr>
              <w:t>ESTIMAT</w:t>
            </w:r>
          </w:p>
        </w:tc>
        <w:tc>
          <w:tcPr>
            <w:tcW w:w="11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FC6C0DA" w14:textId="77777777" w:rsidR="00A72F71" w:rsidRPr="00A72F71" w:rsidRDefault="00A72F71" w:rsidP="00742AEE">
            <w:pPr>
              <w:rPr>
                <w:rFonts w:cstheme="minorHAnsi"/>
                <w:b/>
                <w:bCs/>
              </w:rPr>
            </w:pP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6E14B07" w14:textId="77777777" w:rsidR="00A72F71" w:rsidRPr="00A72F71" w:rsidRDefault="00A72F71" w:rsidP="00742AEE">
            <w:pPr>
              <w:rPr>
                <w:rFonts w:eastAsia="Times New Roman" w:cstheme="minorHAnsi"/>
                <w:sz w:val="20"/>
                <w:szCs w:val="20"/>
              </w:rPr>
            </w:pPr>
          </w:p>
        </w:tc>
        <w:tc>
          <w:tcPr>
            <w:tcW w:w="15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C083198" w14:textId="77777777" w:rsidR="00A72F71" w:rsidRPr="00A72F71" w:rsidRDefault="00A72F71" w:rsidP="00742AEE">
            <w:pPr>
              <w:rPr>
                <w:rFonts w:cstheme="minorHAnsi"/>
              </w:rPr>
            </w:pPr>
            <w:r w:rsidRPr="00A72F71">
              <w:rPr>
                <w:rFonts w:cstheme="minorHAnsi"/>
              </w:rPr>
              <w:t>Pr. år v/avskriving</w:t>
            </w:r>
          </w:p>
        </w:tc>
      </w:tr>
      <w:tr w:rsidR="00A72F71" w:rsidRPr="00A72F71" w14:paraId="191EA7FF" w14:textId="77777777" w:rsidTr="00742AEE">
        <w:trPr>
          <w:trHeight w:val="315"/>
        </w:trPr>
        <w:tc>
          <w:tcPr>
            <w:tcW w:w="2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C6AD00" w14:textId="77777777" w:rsidR="00A72F71" w:rsidRPr="00A72F71" w:rsidRDefault="00A72F71" w:rsidP="00742AEE">
            <w:pPr>
              <w:rPr>
                <w:rFonts w:cstheme="minorHAnsi"/>
                <w:b/>
                <w:bCs/>
              </w:rPr>
            </w:pPr>
            <w:r w:rsidRPr="00A72F71">
              <w:rPr>
                <w:rFonts w:cstheme="minorHAnsi"/>
                <w:b/>
                <w:bCs/>
              </w:rPr>
              <w:t xml:space="preserve">PR. ORG 1. &amp; 2. </w:t>
            </w:r>
            <w:proofErr w:type="spellStart"/>
            <w:r w:rsidRPr="00A72F71">
              <w:rPr>
                <w:rFonts w:cstheme="minorHAnsi"/>
                <w:b/>
                <w:bCs/>
              </w:rPr>
              <w:t>etg</w:t>
            </w:r>
            <w:proofErr w:type="spellEnd"/>
            <w:r w:rsidRPr="00A72F71">
              <w:rPr>
                <w:rFonts w:cstheme="minorHAnsi"/>
                <w:b/>
                <w:bCs/>
              </w:rPr>
              <w:t>.</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30E79791" w14:textId="77777777" w:rsidR="00A72F71" w:rsidRPr="00A72F71" w:rsidRDefault="00A72F71" w:rsidP="00742AEE">
            <w:pPr>
              <w:rPr>
                <w:rFonts w:cstheme="minorHAnsi"/>
              </w:rPr>
            </w:pPr>
            <w:r w:rsidRPr="00A72F71">
              <w:rPr>
                <w:rFonts w:cstheme="minorHAnsi"/>
              </w:rPr>
              <w:t>Før</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3FAE62DA" w14:textId="77777777" w:rsidR="00A72F71" w:rsidRPr="00A72F71" w:rsidRDefault="00A72F71" w:rsidP="00742AEE">
            <w:pPr>
              <w:rPr>
                <w:rFonts w:cstheme="minorHAnsi"/>
              </w:rPr>
            </w:pPr>
            <w:r w:rsidRPr="00A72F71">
              <w:rPr>
                <w:rFonts w:cstheme="minorHAnsi"/>
              </w:rPr>
              <w:t>% endring</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2013227C" w14:textId="77777777" w:rsidR="00A72F71" w:rsidRPr="00A72F71" w:rsidRDefault="00A72F71" w:rsidP="00742AEE">
            <w:pPr>
              <w:rPr>
                <w:rFonts w:cstheme="minorHAnsi"/>
              </w:rPr>
            </w:pPr>
            <w:r w:rsidRPr="00A72F71">
              <w:rPr>
                <w:rFonts w:cstheme="minorHAnsi"/>
              </w:rPr>
              <w:t>over 5 år</w:t>
            </w:r>
          </w:p>
        </w:tc>
      </w:tr>
      <w:tr w:rsidR="00A72F71" w:rsidRPr="00A72F71" w14:paraId="42AFDC71"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1F96E9" w14:textId="77777777" w:rsidR="00A72F71" w:rsidRPr="00A72F71" w:rsidRDefault="00A72F71" w:rsidP="00742AEE">
            <w:pPr>
              <w:rPr>
                <w:rFonts w:cstheme="minorHAnsi"/>
              </w:rPr>
            </w:pPr>
            <w:r w:rsidRPr="00A72F71">
              <w:rPr>
                <w:rFonts w:cstheme="minorHAnsi"/>
              </w:rPr>
              <w:t>Skup</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7EED481A" w14:textId="77777777" w:rsidR="00A72F71" w:rsidRPr="00A72F71" w:rsidRDefault="00A72F71" w:rsidP="00742AEE">
            <w:pPr>
              <w:rPr>
                <w:rFonts w:cstheme="minorHAnsi"/>
              </w:rPr>
            </w:pPr>
            <w:r w:rsidRPr="00A72F71">
              <w:rPr>
                <w:rFonts w:cstheme="minorHAnsi"/>
              </w:rPr>
              <w:t>58 568</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6FF3F704" w14:textId="77777777" w:rsidR="00A72F71" w:rsidRPr="00A72F71" w:rsidRDefault="00A72F71" w:rsidP="00742AEE">
            <w:pPr>
              <w:rPr>
                <w:rFonts w:cstheme="minorHAnsi"/>
              </w:rPr>
            </w:pPr>
            <w:r w:rsidRPr="00A72F71">
              <w:rPr>
                <w:rFonts w:cstheme="minorHAnsi"/>
              </w:rPr>
              <w:t>47 169</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7D58521B" w14:textId="77777777" w:rsidR="00A72F71" w:rsidRPr="00A72F71" w:rsidRDefault="00A72F71" w:rsidP="00742AEE">
            <w:pPr>
              <w:rPr>
                <w:rFonts w:cstheme="minorHAnsi"/>
              </w:rPr>
            </w:pPr>
            <w:r w:rsidRPr="00A72F71">
              <w:rPr>
                <w:rFonts w:cstheme="minorHAnsi"/>
              </w:rPr>
              <w:t>24,17 %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4052C72D" w14:textId="77777777" w:rsidR="00A72F71" w:rsidRPr="00A72F71" w:rsidRDefault="00A72F71" w:rsidP="00742AEE">
            <w:pPr>
              <w:rPr>
                <w:rFonts w:cstheme="minorHAnsi"/>
              </w:rPr>
            </w:pPr>
            <w:r w:rsidRPr="00A72F71">
              <w:rPr>
                <w:rFonts w:cstheme="minorHAnsi"/>
              </w:rPr>
              <w:t>11 714</w:t>
            </w:r>
          </w:p>
        </w:tc>
      </w:tr>
      <w:tr w:rsidR="00A72F71" w:rsidRPr="00A72F71" w14:paraId="1D87FA50"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A8C5BF" w14:textId="77777777" w:rsidR="00A72F71" w:rsidRPr="00A72F71" w:rsidRDefault="00A72F71" w:rsidP="00742AEE">
            <w:pPr>
              <w:rPr>
                <w:rFonts w:cstheme="minorHAnsi"/>
              </w:rPr>
            </w:pPr>
            <w:r w:rsidRPr="00A72F71">
              <w:rPr>
                <w:rFonts w:cstheme="minorHAnsi"/>
              </w:rPr>
              <w:t>LLA</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38B72367" w14:textId="77777777" w:rsidR="00A72F71" w:rsidRPr="00A72F71" w:rsidRDefault="00A72F71" w:rsidP="00742AEE">
            <w:pPr>
              <w:rPr>
                <w:rFonts w:cstheme="minorHAnsi"/>
              </w:rPr>
            </w:pPr>
            <w:r w:rsidRPr="00A72F71">
              <w:rPr>
                <w:rFonts w:cstheme="minorHAnsi"/>
              </w:rPr>
              <w:t>89 905</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64D5F95D" w14:textId="77777777" w:rsidR="00A72F71" w:rsidRPr="00A72F71" w:rsidRDefault="00A72F71" w:rsidP="00742AEE">
            <w:pPr>
              <w:rPr>
                <w:rFonts w:cstheme="minorHAnsi"/>
              </w:rPr>
            </w:pPr>
            <w:r w:rsidRPr="00A72F71">
              <w:rPr>
                <w:rFonts w:cstheme="minorHAnsi"/>
              </w:rPr>
              <w:t>141 506</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7FCC418B" w14:textId="77777777" w:rsidR="00A72F71" w:rsidRPr="00A72F71" w:rsidRDefault="00A72F71" w:rsidP="00742AEE">
            <w:pPr>
              <w:rPr>
                <w:rFonts w:cstheme="minorHAnsi"/>
              </w:rPr>
            </w:pPr>
            <w:r w:rsidRPr="00A72F71">
              <w:rPr>
                <w:rFonts w:cstheme="minorHAnsi"/>
              </w:rPr>
              <w:t>-36,47 %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FB6CC0" w14:textId="77777777" w:rsidR="00A72F71" w:rsidRPr="00A72F71" w:rsidRDefault="00A72F71" w:rsidP="00742AEE">
            <w:pPr>
              <w:rPr>
                <w:rFonts w:cstheme="minorHAnsi"/>
              </w:rPr>
            </w:pPr>
            <w:r w:rsidRPr="00A72F71">
              <w:rPr>
                <w:rFonts w:cstheme="minorHAnsi"/>
              </w:rPr>
              <w:t>17 981</w:t>
            </w:r>
          </w:p>
        </w:tc>
      </w:tr>
      <w:tr w:rsidR="00A72F71" w:rsidRPr="00A72F71" w14:paraId="7930E951"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9A8C82" w14:textId="77777777" w:rsidR="00A72F71" w:rsidRPr="00A72F71" w:rsidRDefault="00A72F71" w:rsidP="00742AEE">
            <w:pPr>
              <w:rPr>
                <w:rFonts w:cstheme="minorHAnsi"/>
              </w:rPr>
            </w:pPr>
            <w:r w:rsidRPr="00A72F71">
              <w:rPr>
                <w:rFonts w:cstheme="minorHAnsi"/>
              </w:rPr>
              <w:t>NLR</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380D089B" w14:textId="77777777" w:rsidR="00A72F71" w:rsidRPr="00A72F71" w:rsidRDefault="00A72F71" w:rsidP="00742AEE">
            <w:pPr>
              <w:rPr>
                <w:rFonts w:cstheme="minorHAnsi"/>
              </w:rPr>
            </w:pPr>
            <w:r w:rsidRPr="00A72F71">
              <w:rPr>
                <w:rFonts w:cstheme="minorHAnsi"/>
              </w:rPr>
              <w:t>58 568</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670FF0AE" w14:textId="77777777" w:rsidR="00A72F71" w:rsidRPr="00A72F71" w:rsidRDefault="00A72F71" w:rsidP="00742AEE">
            <w:pPr>
              <w:rPr>
                <w:rFonts w:cstheme="minorHAnsi"/>
              </w:rPr>
            </w:pPr>
            <w:r w:rsidRPr="00A72F71">
              <w:rPr>
                <w:rFonts w:cstheme="minorHAnsi"/>
              </w:rPr>
              <w:t>47 169</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69914343" w14:textId="77777777" w:rsidR="00A72F71" w:rsidRPr="00A72F71" w:rsidRDefault="00A72F71" w:rsidP="00742AEE">
            <w:pPr>
              <w:rPr>
                <w:rFonts w:cstheme="minorHAnsi"/>
              </w:rPr>
            </w:pPr>
            <w:r w:rsidRPr="00A72F71">
              <w:rPr>
                <w:rFonts w:cstheme="minorHAnsi"/>
              </w:rPr>
              <w:t>24,17 %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04CE4B71" w14:textId="77777777" w:rsidR="00A72F71" w:rsidRPr="00A72F71" w:rsidRDefault="00A72F71" w:rsidP="00742AEE">
            <w:pPr>
              <w:rPr>
                <w:rFonts w:cstheme="minorHAnsi"/>
              </w:rPr>
            </w:pPr>
            <w:r w:rsidRPr="00A72F71">
              <w:rPr>
                <w:rFonts w:cstheme="minorHAnsi"/>
              </w:rPr>
              <w:t>11 714</w:t>
            </w:r>
          </w:p>
        </w:tc>
      </w:tr>
      <w:tr w:rsidR="00A72F71" w:rsidRPr="00A72F71" w14:paraId="05AC5D1B"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73BC43" w14:textId="77777777" w:rsidR="00A72F71" w:rsidRPr="00A72F71" w:rsidRDefault="00A72F71" w:rsidP="00742AEE">
            <w:pPr>
              <w:rPr>
                <w:rFonts w:cstheme="minorHAnsi"/>
              </w:rPr>
            </w:pPr>
            <w:r w:rsidRPr="00A72F71">
              <w:rPr>
                <w:rFonts w:cstheme="minorHAnsi"/>
              </w:rPr>
              <w:t>NR</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470A4FA6" w14:textId="77777777" w:rsidR="00A72F71" w:rsidRPr="00A72F71" w:rsidRDefault="00A72F71" w:rsidP="00742AEE">
            <w:pPr>
              <w:rPr>
                <w:rFonts w:cstheme="minorHAnsi"/>
              </w:rPr>
            </w:pPr>
            <w:r w:rsidRPr="00A72F71">
              <w:rPr>
                <w:rFonts w:cstheme="minorHAnsi"/>
              </w:rPr>
              <w:t>393 105</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719E7010" w14:textId="77777777" w:rsidR="00A72F71" w:rsidRPr="00A72F71" w:rsidRDefault="00A72F71" w:rsidP="00742AEE">
            <w:pPr>
              <w:rPr>
                <w:rFonts w:cstheme="minorHAnsi"/>
              </w:rPr>
            </w:pPr>
            <w:r w:rsidRPr="00A72F71">
              <w:rPr>
                <w:rFonts w:cstheme="minorHAnsi"/>
              </w:rPr>
              <w:t>141 506</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663E1111" w14:textId="77777777" w:rsidR="00A72F71" w:rsidRPr="00A72F71" w:rsidRDefault="00A72F71" w:rsidP="00742AEE">
            <w:pPr>
              <w:rPr>
                <w:rFonts w:cstheme="minorHAnsi"/>
              </w:rPr>
            </w:pPr>
            <w:r w:rsidRPr="00A72F71">
              <w:rPr>
                <w:rFonts w:cstheme="minorHAnsi"/>
              </w:rPr>
              <w:t>177,80 %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21B1BB" w14:textId="77777777" w:rsidR="00A72F71" w:rsidRPr="00A72F71" w:rsidRDefault="00A72F71" w:rsidP="00742AEE">
            <w:pPr>
              <w:rPr>
                <w:rFonts w:cstheme="minorHAnsi"/>
              </w:rPr>
            </w:pPr>
            <w:r w:rsidRPr="00A72F71">
              <w:rPr>
                <w:rFonts w:cstheme="minorHAnsi"/>
              </w:rPr>
              <w:t>78 621</w:t>
            </w:r>
          </w:p>
        </w:tc>
      </w:tr>
      <w:tr w:rsidR="00A72F71" w:rsidRPr="00A72F71" w14:paraId="442A6B35"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7C8630" w14:textId="77777777" w:rsidR="00A72F71" w:rsidRPr="00A72F71" w:rsidRDefault="00A72F71" w:rsidP="00742AEE">
            <w:pPr>
              <w:rPr>
                <w:rFonts w:cstheme="minorHAnsi"/>
              </w:rPr>
            </w:pPr>
            <w:r w:rsidRPr="00A72F71">
              <w:rPr>
                <w:rFonts w:cstheme="minorHAnsi"/>
              </w:rPr>
              <w:t>Fagpressen</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0434ADD1" w14:textId="77777777" w:rsidR="00A72F71" w:rsidRPr="00A72F71" w:rsidRDefault="00A72F71" w:rsidP="00742AEE">
            <w:pPr>
              <w:rPr>
                <w:rFonts w:cstheme="minorHAnsi"/>
              </w:rPr>
            </w:pPr>
            <w:r w:rsidRPr="00A72F71">
              <w:rPr>
                <w:rFonts w:cstheme="minorHAnsi"/>
              </w:rPr>
              <w:t>234 274</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73FCDE40" w14:textId="77777777" w:rsidR="00A72F71" w:rsidRPr="00A72F71" w:rsidRDefault="00A72F71" w:rsidP="00742AEE">
            <w:pPr>
              <w:rPr>
                <w:rFonts w:cstheme="minorHAnsi"/>
              </w:rPr>
            </w:pPr>
            <w:r w:rsidRPr="00A72F71">
              <w:rPr>
                <w:rFonts w:cstheme="minorHAnsi"/>
              </w:rPr>
              <w:t>188 674</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46E72759" w14:textId="77777777" w:rsidR="00A72F71" w:rsidRPr="00A72F71" w:rsidRDefault="00A72F71" w:rsidP="00742AEE">
            <w:pPr>
              <w:rPr>
                <w:rFonts w:cstheme="minorHAnsi"/>
              </w:rPr>
            </w:pPr>
            <w:r w:rsidRPr="00A72F71">
              <w:rPr>
                <w:rFonts w:cstheme="minorHAnsi"/>
              </w:rPr>
              <w:t>24,17 %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2CDD62F7" w14:textId="77777777" w:rsidR="00A72F71" w:rsidRPr="00A72F71" w:rsidRDefault="00A72F71" w:rsidP="00742AEE">
            <w:pPr>
              <w:rPr>
                <w:rFonts w:cstheme="minorHAnsi"/>
              </w:rPr>
            </w:pPr>
            <w:r w:rsidRPr="00A72F71">
              <w:rPr>
                <w:rFonts w:cstheme="minorHAnsi"/>
              </w:rPr>
              <w:t>46 855</w:t>
            </w:r>
          </w:p>
        </w:tc>
      </w:tr>
      <w:tr w:rsidR="00A72F71" w:rsidRPr="00A72F71" w14:paraId="77997C04"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5FA30D" w14:textId="77777777" w:rsidR="00A72F71" w:rsidRPr="00A72F71" w:rsidRDefault="00A72F71" w:rsidP="00742AEE">
            <w:pPr>
              <w:rPr>
                <w:rFonts w:cstheme="minorHAnsi"/>
              </w:rPr>
            </w:pPr>
            <w:r w:rsidRPr="00A72F71">
              <w:rPr>
                <w:rFonts w:cstheme="minorHAnsi"/>
              </w:rPr>
              <w:t>MBL</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31FEF88C" w14:textId="77777777" w:rsidR="00A72F71" w:rsidRPr="00A72F71" w:rsidRDefault="00A72F71" w:rsidP="00742AEE">
            <w:pPr>
              <w:rPr>
                <w:rFonts w:cstheme="minorHAnsi"/>
              </w:rPr>
            </w:pPr>
            <w:r w:rsidRPr="00A72F71">
              <w:rPr>
                <w:rFonts w:cstheme="minorHAnsi"/>
              </w:rPr>
              <w:t>923 786</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1D91EFFF" w14:textId="77777777" w:rsidR="00A72F71" w:rsidRPr="00A72F71" w:rsidRDefault="00A72F71" w:rsidP="00742AEE">
            <w:pPr>
              <w:rPr>
                <w:rFonts w:cstheme="minorHAnsi"/>
              </w:rPr>
            </w:pPr>
            <w:r w:rsidRPr="00A72F71">
              <w:rPr>
                <w:rFonts w:cstheme="minorHAnsi"/>
              </w:rPr>
              <w:t>707 529</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02B0DB03" w14:textId="77777777" w:rsidR="00A72F71" w:rsidRPr="00A72F71" w:rsidRDefault="00A72F71" w:rsidP="00742AEE">
            <w:pPr>
              <w:rPr>
                <w:rFonts w:cstheme="minorHAnsi"/>
              </w:rPr>
            </w:pPr>
            <w:r w:rsidRPr="00A72F71">
              <w:rPr>
                <w:rFonts w:cstheme="minorHAnsi"/>
              </w:rPr>
              <w:t>30,57 %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55CEBF9B" w14:textId="77777777" w:rsidR="00A72F71" w:rsidRPr="00A72F71" w:rsidRDefault="00A72F71" w:rsidP="00742AEE">
            <w:pPr>
              <w:rPr>
                <w:rFonts w:cstheme="minorHAnsi"/>
              </w:rPr>
            </w:pPr>
            <w:r w:rsidRPr="00A72F71">
              <w:rPr>
                <w:rFonts w:cstheme="minorHAnsi"/>
              </w:rPr>
              <w:t>184 757</w:t>
            </w:r>
          </w:p>
        </w:tc>
      </w:tr>
      <w:tr w:rsidR="00A72F71" w:rsidRPr="00A72F71" w14:paraId="59854003"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37AD13" w14:textId="77777777" w:rsidR="00A72F71" w:rsidRPr="00A72F71" w:rsidRDefault="00A72F71" w:rsidP="00742AEE">
            <w:pPr>
              <w:rPr>
                <w:rFonts w:cstheme="minorHAnsi"/>
              </w:rPr>
            </w:pPr>
            <w:r w:rsidRPr="00A72F71">
              <w:rPr>
                <w:rFonts w:cstheme="minorHAnsi"/>
              </w:rPr>
              <w:t>NTB</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30F7830D" w14:textId="77777777" w:rsidR="00A72F71" w:rsidRPr="00A72F71" w:rsidRDefault="00A72F71" w:rsidP="00742AEE">
            <w:pPr>
              <w:rPr>
                <w:rFonts w:cstheme="minorHAnsi"/>
              </w:rPr>
            </w:pPr>
            <w:r w:rsidRPr="00A72F71">
              <w:rPr>
                <w:rFonts w:cstheme="minorHAnsi"/>
              </w:rPr>
              <w:t>601 600</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226B58B3" w14:textId="77777777" w:rsidR="00A72F71" w:rsidRPr="00A72F71" w:rsidRDefault="00A72F71" w:rsidP="00742AEE">
            <w:pPr>
              <w:rPr>
                <w:rFonts w:cstheme="minorHAnsi"/>
              </w:rPr>
            </w:pPr>
            <w:r w:rsidRPr="00A72F71">
              <w:rPr>
                <w:rFonts w:cstheme="minorHAnsi"/>
              </w:rPr>
              <w:t>764 645</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0B368FBD" w14:textId="77777777" w:rsidR="00A72F71" w:rsidRPr="00A72F71" w:rsidRDefault="00A72F71" w:rsidP="00742AEE">
            <w:pPr>
              <w:rPr>
                <w:rFonts w:cstheme="minorHAnsi"/>
              </w:rPr>
            </w:pPr>
            <w:r w:rsidRPr="00A72F71">
              <w:rPr>
                <w:rFonts w:cstheme="minorHAnsi"/>
              </w:rPr>
              <w:t>-21,32 %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47350ECA" w14:textId="77777777" w:rsidR="00A72F71" w:rsidRPr="00A72F71" w:rsidRDefault="00A72F71" w:rsidP="00742AEE">
            <w:pPr>
              <w:rPr>
                <w:rFonts w:cstheme="minorHAnsi"/>
              </w:rPr>
            </w:pPr>
            <w:r w:rsidRPr="00A72F71">
              <w:rPr>
                <w:rFonts w:cstheme="minorHAnsi"/>
              </w:rPr>
              <w:t>120 320</w:t>
            </w:r>
          </w:p>
        </w:tc>
      </w:tr>
      <w:tr w:rsidR="00A72F71" w:rsidRPr="00A72F71" w14:paraId="735CA10D"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F58AC1" w14:textId="77777777" w:rsidR="00A72F71" w:rsidRPr="00A72F71" w:rsidRDefault="00A907D4" w:rsidP="00742AEE">
            <w:pPr>
              <w:rPr>
                <w:rFonts w:cstheme="minorHAnsi"/>
                <w:u w:val="single"/>
              </w:rPr>
            </w:pPr>
            <w:hyperlink r:id="rId8" w:history="1">
              <w:r w:rsidR="00A72F71" w:rsidRPr="00A72F71">
                <w:rPr>
                  <w:rStyle w:val="Hyperkobling"/>
                  <w:rFonts w:cstheme="minorHAnsi"/>
                </w:rPr>
                <w:t>faktisk.no</w:t>
              </w:r>
            </w:hyperlink>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51D8FBE2" w14:textId="77777777" w:rsidR="00A72F71" w:rsidRPr="00A72F71" w:rsidRDefault="00A72F71" w:rsidP="00742AEE">
            <w:pPr>
              <w:rPr>
                <w:rFonts w:cstheme="minorHAnsi"/>
              </w:rPr>
            </w:pPr>
            <w:r w:rsidRPr="00A72F71">
              <w:rPr>
                <w:rFonts w:cstheme="minorHAnsi"/>
              </w:rPr>
              <w:t>440 958</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0C43EAEA" w14:textId="77777777" w:rsidR="00A72F71" w:rsidRPr="00A72F71" w:rsidRDefault="00A72F71" w:rsidP="00742AEE">
            <w:pPr>
              <w:rPr>
                <w:rFonts w:cstheme="minorHAnsi"/>
              </w:rPr>
            </w:pPr>
            <w:r w:rsidRPr="00A72F71">
              <w:rPr>
                <w:rFonts w:cstheme="minorHAnsi"/>
              </w:rPr>
              <w:t>660 360</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2497D65F" w14:textId="77777777" w:rsidR="00A72F71" w:rsidRPr="00A72F71" w:rsidRDefault="00A72F71" w:rsidP="00742AEE">
            <w:pPr>
              <w:rPr>
                <w:rFonts w:cstheme="minorHAnsi"/>
              </w:rPr>
            </w:pPr>
            <w:r w:rsidRPr="00A72F71">
              <w:rPr>
                <w:rFonts w:cstheme="minorHAnsi"/>
              </w:rPr>
              <w:t>-33,22 %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07B94D" w14:textId="77777777" w:rsidR="00A72F71" w:rsidRPr="00A72F71" w:rsidRDefault="00A72F71" w:rsidP="00742AEE">
            <w:pPr>
              <w:rPr>
                <w:rFonts w:cstheme="minorHAnsi"/>
              </w:rPr>
            </w:pPr>
            <w:r w:rsidRPr="00A72F71">
              <w:rPr>
                <w:rFonts w:cstheme="minorHAnsi"/>
              </w:rPr>
              <w:t>88 192</w:t>
            </w:r>
          </w:p>
        </w:tc>
      </w:tr>
      <w:tr w:rsidR="00A72F71" w:rsidRPr="00A72F71" w14:paraId="020B7FB3"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9B6715" w14:textId="77777777" w:rsidR="00A72F71" w:rsidRPr="00A72F71" w:rsidRDefault="00A72F71" w:rsidP="00742AEE">
            <w:pPr>
              <w:rPr>
                <w:rFonts w:cstheme="minorHAnsi"/>
              </w:rPr>
            </w:pPr>
            <w:r w:rsidRPr="00A72F71">
              <w:rPr>
                <w:rFonts w:cstheme="minorHAnsi"/>
              </w:rPr>
              <w:t>NP</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3BCE781B" w14:textId="77777777" w:rsidR="00A72F71" w:rsidRPr="00A72F71" w:rsidRDefault="00A72F71" w:rsidP="00742AEE">
            <w:pPr>
              <w:rPr>
                <w:rFonts w:cstheme="minorHAnsi"/>
              </w:rPr>
            </w:pPr>
            <w:r w:rsidRPr="00A72F71">
              <w:rPr>
                <w:rFonts w:cstheme="minorHAnsi"/>
              </w:rPr>
              <w:t>295 611</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7AE277BA" w14:textId="77777777" w:rsidR="00A72F71" w:rsidRPr="00A72F71" w:rsidRDefault="00A72F71" w:rsidP="00742AEE">
            <w:pPr>
              <w:rPr>
                <w:rFonts w:cstheme="minorHAnsi"/>
              </w:rPr>
            </w:pPr>
            <w:r w:rsidRPr="00A72F71">
              <w:rPr>
                <w:rFonts w:cstheme="minorHAnsi"/>
              </w:rPr>
              <w:t>283 012</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5D180531" w14:textId="77777777" w:rsidR="00A72F71" w:rsidRPr="00A72F71" w:rsidRDefault="00A72F71" w:rsidP="00742AEE">
            <w:pPr>
              <w:rPr>
                <w:rFonts w:cstheme="minorHAnsi"/>
              </w:rPr>
            </w:pPr>
            <w:r w:rsidRPr="00A72F71">
              <w:rPr>
                <w:rFonts w:cstheme="minorHAnsi"/>
              </w:rPr>
              <w:t>4,45 %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8C14EB" w14:textId="77777777" w:rsidR="00A72F71" w:rsidRPr="00A72F71" w:rsidRDefault="00A72F71" w:rsidP="00742AEE">
            <w:pPr>
              <w:rPr>
                <w:rFonts w:cstheme="minorHAnsi"/>
              </w:rPr>
            </w:pPr>
            <w:r w:rsidRPr="00A72F71">
              <w:rPr>
                <w:rFonts w:cstheme="minorHAnsi"/>
              </w:rPr>
              <w:t>59 122</w:t>
            </w:r>
          </w:p>
        </w:tc>
      </w:tr>
      <w:tr w:rsidR="00A72F71" w:rsidRPr="00A72F71" w14:paraId="017E862A"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2EA11D" w14:textId="77777777" w:rsidR="00A72F71" w:rsidRPr="00A72F71" w:rsidRDefault="00A72F71" w:rsidP="00742AEE">
            <w:pPr>
              <w:rPr>
                <w:rFonts w:cstheme="minorHAnsi"/>
              </w:rPr>
            </w:pPr>
            <w:r w:rsidRPr="00A72F71">
              <w:rPr>
                <w:rFonts w:cstheme="minorHAnsi"/>
              </w:rPr>
              <w:t>IJ</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2DE79A06" w14:textId="77777777" w:rsidR="00A72F71" w:rsidRPr="00A72F71" w:rsidRDefault="00A72F71" w:rsidP="00742AEE">
            <w:pPr>
              <w:rPr>
                <w:rFonts w:cstheme="minorHAnsi"/>
              </w:rPr>
            </w:pPr>
            <w:r w:rsidRPr="00A72F71">
              <w:rPr>
                <w:rFonts w:cstheme="minorHAnsi"/>
              </w:rPr>
              <w:t>388 284</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290CA369" w14:textId="77777777" w:rsidR="00A72F71" w:rsidRPr="00A72F71" w:rsidRDefault="00A72F71" w:rsidP="00742AEE">
            <w:pPr>
              <w:rPr>
                <w:rFonts w:cstheme="minorHAnsi"/>
              </w:rPr>
            </w:pPr>
            <w:r w:rsidRPr="00A72F71">
              <w:rPr>
                <w:rFonts w:cstheme="minorHAnsi"/>
              </w:rPr>
              <w:t>471 686</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64E5B4B4" w14:textId="77777777" w:rsidR="00A72F71" w:rsidRPr="00A72F71" w:rsidRDefault="00A72F71" w:rsidP="00742AEE">
            <w:pPr>
              <w:rPr>
                <w:rFonts w:cstheme="minorHAnsi"/>
              </w:rPr>
            </w:pPr>
            <w:r w:rsidRPr="00A72F71">
              <w:rPr>
                <w:rFonts w:cstheme="minorHAnsi"/>
              </w:rPr>
              <w:t>-17,68 %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5B525B1E" w14:textId="77777777" w:rsidR="00A72F71" w:rsidRPr="00A72F71" w:rsidRDefault="00A72F71" w:rsidP="00742AEE">
            <w:pPr>
              <w:rPr>
                <w:rFonts w:cstheme="minorHAnsi"/>
              </w:rPr>
            </w:pPr>
            <w:r w:rsidRPr="00A72F71">
              <w:rPr>
                <w:rFonts w:cstheme="minorHAnsi"/>
              </w:rPr>
              <w:t>77 657</w:t>
            </w:r>
          </w:p>
        </w:tc>
      </w:tr>
      <w:tr w:rsidR="00A72F71" w:rsidRPr="00A72F71" w14:paraId="38C307D7" w14:textId="77777777" w:rsidTr="00742AEE">
        <w:trPr>
          <w:trHeight w:val="300"/>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ED9AD3" w14:textId="77777777" w:rsidR="00A72F71" w:rsidRPr="00A72F71" w:rsidRDefault="00A72F71" w:rsidP="00742AEE">
            <w:pPr>
              <w:rPr>
                <w:rFonts w:cstheme="minorHAnsi"/>
              </w:rPr>
            </w:pPr>
            <w:r w:rsidRPr="00A72F71">
              <w:rPr>
                <w:rFonts w:cstheme="minorHAnsi"/>
              </w:rPr>
              <w:t>NJ</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4F5978E1" w14:textId="77777777" w:rsidR="00A72F71" w:rsidRPr="00A72F71" w:rsidRDefault="00A72F71" w:rsidP="00742AEE">
            <w:pPr>
              <w:rPr>
                <w:rFonts w:cstheme="minorHAnsi"/>
              </w:rPr>
            </w:pPr>
            <w:r w:rsidRPr="00A72F71">
              <w:rPr>
                <w:rFonts w:cstheme="minorHAnsi"/>
              </w:rPr>
              <w:t>466 100</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367F283B" w14:textId="77777777" w:rsidR="00A72F71" w:rsidRPr="00A72F71" w:rsidRDefault="00A72F71" w:rsidP="00742AEE">
            <w:pPr>
              <w:rPr>
                <w:rFonts w:cstheme="minorHAnsi"/>
              </w:rPr>
            </w:pPr>
            <w:r w:rsidRPr="00A72F71">
              <w:rPr>
                <w:rFonts w:cstheme="minorHAnsi"/>
              </w:rPr>
              <w:t>490 428</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473726C4" w14:textId="77777777" w:rsidR="00A72F71" w:rsidRPr="00A72F71" w:rsidRDefault="00A72F71" w:rsidP="00742AEE">
            <w:pPr>
              <w:rPr>
                <w:rFonts w:cstheme="minorHAnsi"/>
              </w:rPr>
            </w:pPr>
            <w:r w:rsidRPr="00A72F71">
              <w:rPr>
                <w:rFonts w:cstheme="minorHAnsi"/>
              </w:rPr>
              <w:t>-4,96 %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29D7040C" w14:textId="77777777" w:rsidR="00A72F71" w:rsidRPr="00A72F71" w:rsidRDefault="00A72F71" w:rsidP="00742AEE">
            <w:pPr>
              <w:rPr>
                <w:rFonts w:cstheme="minorHAnsi"/>
              </w:rPr>
            </w:pPr>
            <w:r w:rsidRPr="00A72F71">
              <w:rPr>
                <w:rFonts w:cstheme="minorHAnsi"/>
              </w:rPr>
              <w:t>93 220</w:t>
            </w:r>
          </w:p>
        </w:tc>
      </w:tr>
      <w:tr w:rsidR="00A72F71" w:rsidRPr="00A72F71" w14:paraId="20138B47" w14:textId="77777777" w:rsidTr="00742AEE">
        <w:trPr>
          <w:trHeight w:val="315"/>
        </w:trPr>
        <w:tc>
          <w:tcPr>
            <w:tcW w:w="1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10A7E3" w14:textId="77777777" w:rsidR="00A72F71" w:rsidRPr="00A72F71" w:rsidRDefault="00A72F71" w:rsidP="00742AEE">
            <w:pPr>
              <w:rPr>
                <w:rFonts w:cstheme="minorHAnsi"/>
                <w:b/>
                <w:bCs/>
              </w:rPr>
            </w:pPr>
            <w:r w:rsidRPr="00A72F71">
              <w:rPr>
                <w:rFonts w:cstheme="minorHAnsi"/>
                <w:b/>
                <w:bCs/>
              </w:rPr>
              <w:t>SUM</w:t>
            </w:r>
          </w:p>
        </w:tc>
        <w:tc>
          <w:tcPr>
            <w:tcW w:w="1292" w:type="dxa"/>
            <w:tcBorders>
              <w:top w:val="nil"/>
              <w:left w:val="nil"/>
              <w:bottom w:val="single" w:sz="8" w:space="0" w:color="auto"/>
              <w:right w:val="single" w:sz="8" w:space="0" w:color="auto"/>
            </w:tcBorders>
            <w:noWrap/>
            <w:tcMar>
              <w:top w:w="0" w:type="dxa"/>
              <w:left w:w="108" w:type="dxa"/>
              <w:bottom w:w="0" w:type="dxa"/>
              <w:right w:w="108" w:type="dxa"/>
            </w:tcMar>
            <w:hideMark/>
          </w:tcPr>
          <w:p w14:paraId="73056EB4" w14:textId="77777777" w:rsidR="00A72F71" w:rsidRPr="00A72F71" w:rsidRDefault="00A72F71" w:rsidP="00742AEE">
            <w:pPr>
              <w:rPr>
                <w:rFonts w:cstheme="minorHAnsi"/>
                <w:b/>
                <w:bCs/>
              </w:rPr>
            </w:pPr>
            <w:r w:rsidRPr="00A72F71">
              <w:rPr>
                <w:rFonts w:cstheme="minorHAnsi"/>
                <w:b/>
                <w:bCs/>
              </w:rPr>
              <w:t>3 950 760</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14:paraId="3274D4EB" w14:textId="77777777" w:rsidR="00A72F71" w:rsidRPr="00A72F71" w:rsidRDefault="00A72F71" w:rsidP="00742AEE">
            <w:pPr>
              <w:rPr>
                <w:rFonts w:cstheme="minorHAnsi"/>
                <w:b/>
                <w:bCs/>
              </w:rPr>
            </w:pPr>
            <w:r w:rsidRPr="00A72F71">
              <w:rPr>
                <w:rFonts w:cstheme="minorHAnsi"/>
                <w:b/>
                <w:bCs/>
              </w:rPr>
              <w:t>3 943 684</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47191A01" w14:textId="77777777" w:rsidR="00A72F71" w:rsidRPr="00A72F71" w:rsidRDefault="00A72F71" w:rsidP="00742AEE">
            <w:pPr>
              <w:rPr>
                <w:rFonts w:cstheme="minorHAnsi"/>
              </w:rPr>
            </w:pPr>
            <w:r w:rsidRPr="00A72F71">
              <w:rPr>
                <w:rFonts w:cstheme="minorHAnsi"/>
              </w:rPr>
              <w:t> </w:t>
            </w:r>
          </w:p>
        </w:tc>
        <w:tc>
          <w:tcPr>
            <w:tcW w:w="1520" w:type="dxa"/>
            <w:tcBorders>
              <w:top w:val="nil"/>
              <w:left w:val="nil"/>
              <w:bottom w:val="single" w:sz="8" w:space="0" w:color="auto"/>
              <w:right w:val="single" w:sz="8" w:space="0" w:color="auto"/>
            </w:tcBorders>
            <w:noWrap/>
            <w:tcMar>
              <w:top w:w="0" w:type="dxa"/>
              <w:left w:w="108" w:type="dxa"/>
              <w:bottom w:w="0" w:type="dxa"/>
              <w:right w:w="108" w:type="dxa"/>
            </w:tcMar>
            <w:hideMark/>
          </w:tcPr>
          <w:p w14:paraId="29078204" w14:textId="77777777" w:rsidR="00A72F71" w:rsidRPr="00A72F71" w:rsidRDefault="00A72F71" w:rsidP="00742AEE">
            <w:pPr>
              <w:rPr>
                <w:rFonts w:cstheme="minorHAnsi"/>
              </w:rPr>
            </w:pPr>
            <w:r w:rsidRPr="00A72F71">
              <w:rPr>
                <w:rFonts w:cstheme="minorHAnsi"/>
              </w:rPr>
              <w:t>790 152</w:t>
            </w:r>
          </w:p>
        </w:tc>
      </w:tr>
    </w:tbl>
    <w:p w14:paraId="28D2E2A2" w14:textId="77777777" w:rsidR="00A72F71" w:rsidRPr="00A72F71" w:rsidRDefault="00A72F71" w:rsidP="00A72F71">
      <w:pPr>
        <w:rPr>
          <w:rFonts w:cstheme="minorHAnsi"/>
        </w:rPr>
      </w:pPr>
    </w:p>
    <w:p w14:paraId="4FB61E72" w14:textId="0AAEF0BD" w:rsidR="00A72F71" w:rsidRPr="00A72F71" w:rsidRDefault="00A72F71" w:rsidP="00A72F71">
      <w:pPr>
        <w:rPr>
          <w:rFonts w:eastAsia="Times New Roman" w:cstheme="minorHAnsi"/>
        </w:rPr>
      </w:pPr>
      <w:r w:rsidRPr="00A72F71">
        <w:rPr>
          <w:rFonts w:eastAsia="Times New Roman" w:cstheme="minorHAnsi"/>
        </w:rPr>
        <w:t xml:space="preserve"> </w:t>
      </w:r>
      <w:r w:rsidRPr="00A72F71">
        <w:rPr>
          <w:rFonts w:eastAsia="Times New Roman" w:cstheme="minorHAnsi"/>
          <w:b/>
          <w:bCs/>
        </w:rPr>
        <w:t>Avskriving</w:t>
      </w:r>
    </w:p>
    <w:p w14:paraId="18BADE8C" w14:textId="77777777" w:rsidR="00A72F71" w:rsidRPr="00A72F71" w:rsidRDefault="00A72F71" w:rsidP="00A72F71">
      <w:pPr>
        <w:rPr>
          <w:rFonts w:eastAsia="Times New Roman" w:cstheme="minorHAnsi"/>
        </w:rPr>
      </w:pPr>
      <w:r w:rsidRPr="00A72F71">
        <w:rPr>
          <w:rFonts w:eastAsia="Times New Roman" w:cstheme="minorHAnsi"/>
        </w:rPr>
        <w:t xml:space="preserve">Det totale beløpet vil utgjøre en investering for den enkelte organisasjon/leietaker. Det betyr en investering som kan avskrives (dvs. fordeles og kostnadsføres) over 5 år – tilsvarende leiekontraktens varighet. 1/5 av beløpet blir dermed en driftskostnad i hvert av disse fem årene. </w:t>
      </w:r>
    </w:p>
    <w:p w14:paraId="7A914459" w14:textId="77777777" w:rsidR="00A72F71" w:rsidRPr="00A72F71" w:rsidRDefault="00A72F71" w:rsidP="00A72F71">
      <w:pPr>
        <w:pStyle w:val="Overskrift2"/>
        <w:rPr>
          <w:rFonts w:asciiTheme="minorHAnsi" w:eastAsia="Times New Roman" w:hAnsiTheme="minorHAnsi" w:cstheme="minorHAnsi"/>
          <w:b/>
          <w:bCs/>
        </w:rPr>
      </w:pPr>
      <w:r w:rsidRPr="00A72F71">
        <w:rPr>
          <w:rFonts w:asciiTheme="minorHAnsi" w:eastAsia="Times New Roman" w:hAnsiTheme="minorHAnsi" w:cstheme="minorHAnsi"/>
          <w:b/>
          <w:bCs/>
        </w:rPr>
        <w:t>Avklaring</w:t>
      </w:r>
    </w:p>
    <w:p w14:paraId="31F80704" w14:textId="77777777" w:rsidR="00A72F71" w:rsidRPr="00A72F71" w:rsidRDefault="00A72F71" w:rsidP="00A72F71">
      <w:pPr>
        <w:rPr>
          <w:rFonts w:eastAsia="Times New Roman" w:cstheme="minorHAnsi"/>
        </w:rPr>
      </w:pPr>
      <w:r w:rsidRPr="00A72F71">
        <w:rPr>
          <w:rFonts w:eastAsia="Times New Roman" w:cstheme="minorHAnsi"/>
        </w:rPr>
        <w:t xml:space="preserve">Vi ber den enkelte leietaker slutte seg til forslaget til fordeling av investeringskostnader, slik at prosjektet kan plassere bestilling av AV-utstyr og møbler i månedsskiftet i starten av november. Dette er nødvendig pga. lang leveringstid på disse store bestillingene. </w:t>
      </w:r>
    </w:p>
    <w:p w14:paraId="3529A15D" w14:textId="77777777" w:rsidR="00A72F71" w:rsidRDefault="00A72F71" w:rsidP="00A72F71">
      <w:pPr>
        <w:rPr>
          <w:rFonts w:eastAsia="Times New Roman" w:cstheme="minorHAnsi"/>
          <w:i/>
          <w:iCs/>
        </w:rPr>
      </w:pPr>
    </w:p>
    <w:p w14:paraId="6F14E91A" w14:textId="35A5D002" w:rsidR="00A72F71" w:rsidRPr="00A72F71" w:rsidRDefault="00A72F71" w:rsidP="00A72F71">
      <w:pPr>
        <w:rPr>
          <w:rFonts w:eastAsia="Times New Roman" w:cstheme="minorHAnsi"/>
          <w:i/>
          <w:iCs/>
        </w:rPr>
      </w:pPr>
      <w:r w:rsidRPr="00A72F71">
        <w:rPr>
          <w:rFonts w:eastAsia="Times New Roman" w:cstheme="minorHAnsi"/>
          <w:i/>
          <w:iCs/>
        </w:rPr>
        <w:t>Oslo, 26.10.20</w:t>
      </w:r>
    </w:p>
    <w:p w14:paraId="2560E0D9" w14:textId="16C56B0D" w:rsidR="00A72F71" w:rsidRDefault="00A72F71" w:rsidP="00A72F71">
      <w:pPr>
        <w:rPr>
          <w:color w:val="000000"/>
        </w:rPr>
      </w:pPr>
      <w:r w:rsidRPr="00A72F71">
        <w:rPr>
          <w:rFonts w:eastAsia="Times New Roman" w:cstheme="minorHAnsi"/>
          <w:i/>
          <w:iCs/>
        </w:rPr>
        <w:t xml:space="preserve">Finanseringsgruppa ved Randi </w:t>
      </w:r>
      <w:proofErr w:type="spellStart"/>
      <w:r w:rsidRPr="00A72F71">
        <w:rPr>
          <w:rFonts w:eastAsia="Times New Roman" w:cstheme="minorHAnsi"/>
          <w:i/>
          <w:iCs/>
        </w:rPr>
        <w:t>Øgrey</w:t>
      </w:r>
      <w:proofErr w:type="spellEnd"/>
      <w:r w:rsidRPr="00A72F71">
        <w:rPr>
          <w:rFonts w:eastAsia="Times New Roman" w:cstheme="minorHAnsi"/>
          <w:i/>
          <w:iCs/>
        </w:rPr>
        <w:t>, Arne Jensen, Mads Yngve Storvik, Siri Skaalmo, Torill Roås og Elin Floberghagen</w:t>
      </w:r>
    </w:p>
    <w:sectPr w:rsidR="00A72F71"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42463" w14:textId="77777777" w:rsidR="001A00B0" w:rsidRDefault="001A00B0" w:rsidP="00652873">
      <w:pPr>
        <w:spacing w:after="0" w:line="240" w:lineRule="auto"/>
      </w:pPr>
      <w:r>
        <w:separator/>
      </w:r>
    </w:p>
  </w:endnote>
  <w:endnote w:type="continuationSeparator" w:id="0">
    <w:p w14:paraId="2FEA38B6" w14:textId="77777777" w:rsidR="001A00B0" w:rsidRDefault="001A00B0"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2EE9" w14:textId="77777777" w:rsidR="001A00B0" w:rsidRDefault="001A00B0" w:rsidP="00652873">
      <w:pPr>
        <w:spacing w:after="0" w:line="240" w:lineRule="auto"/>
      </w:pPr>
      <w:r>
        <w:separator/>
      </w:r>
    </w:p>
  </w:footnote>
  <w:footnote w:type="continuationSeparator" w:id="0">
    <w:p w14:paraId="56678914" w14:textId="77777777" w:rsidR="001A00B0" w:rsidRDefault="001A00B0"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C04"/>
    <w:multiLevelType w:val="hybridMultilevel"/>
    <w:tmpl w:val="AE50D10C"/>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 w15:restartNumberingAfterBreak="0">
    <w:nsid w:val="08566B8F"/>
    <w:multiLevelType w:val="hybridMultilevel"/>
    <w:tmpl w:val="E048C58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256EAE"/>
    <w:multiLevelType w:val="hybridMultilevel"/>
    <w:tmpl w:val="D4EE6DCA"/>
    <w:lvl w:ilvl="0" w:tplc="791CB79E">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8A1604"/>
    <w:multiLevelType w:val="multilevel"/>
    <w:tmpl w:val="A05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F0571"/>
    <w:multiLevelType w:val="multilevel"/>
    <w:tmpl w:val="DE26F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2198758E"/>
    <w:multiLevelType w:val="hybridMultilevel"/>
    <w:tmpl w:val="1B2CA6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D222036"/>
    <w:multiLevelType w:val="multilevel"/>
    <w:tmpl w:val="F83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616A7F"/>
    <w:multiLevelType w:val="hybridMultilevel"/>
    <w:tmpl w:val="71E875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2DE36FD"/>
    <w:multiLevelType w:val="hybridMultilevel"/>
    <w:tmpl w:val="2EACF1EE"/>
    <w:lvl w:ilvl="0" w:tplc="5D62FA12">
      <w:start w:val="6"/>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A1033C4"/>
    <w:multiLevelType w:val="hybridMultilevel"/>
    <w:tmpl w:val="F150108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BA9794F"/>
    <w:multiLevelType w:val="hybridMultilevel"/>
    <w:tmpl w:val="12802820"/>
    <w:lvl w:ilvl="0" w:tplc="2B0CB39C">
      <w:start w:val="1"/>
      <w:numFmt w:val="decimal"/>
      <w:lvlText w:val="(%1)"/>
      <w:lvlJc w:val="left"/>
      <w:pPr>
        <w:ind w:left="840" w:hanging="360"/>
      </w:pPr>
      <w:rPr>
        <w:rFonts w:hint="default"/>
      </w:rPr>
    </w:lvl>
    <w:lvl w:ilvl="1" w:tplc="04140019" w:tentative="1">
      <w:start w:val="1"/>
      <w:numFmt w:val="lowerLetter"/>
      <w:lvlText w:val="%2."/>
      <w:lvlJc w:val="left"/>
      <w:pPr>
        <w:ind w:left="1560" w:hanging="360"/>
      </w:pPr>
    </w:lvl>
    <w:lvl w:ilvl="2" w:tplc="0414001B" w:tentative="1">
      <w:start w:val="1"/>
      <w:numFmt w:val="lowerRoman"/>
      <w:lvlText w:val="%3."/>
      <w:lvlJc w:val="right"/>
      <w:pPr>
        <w:ind w:left="2280" w:hanging="180"/>
      </w:pPr>
    </w:lvl>
    <w:lvl w:ilvl="3" w:tplc="0414000F" w:tentative="1">
      <w:start w:val="1"/>
      <w:numFmt w:val="decimal"/>
      <w:lvlText w:val="%4."/>
      <w:lvlJc w:val="left"/>
      <w:pPr>
        <w:ind w:left="3000" w:hanging="360"/>
      </w:pPr>
    </w:lvl>
    <w:lvl w:ilvl="4" w:tplc="04140019" w:tentative="1">
      <w:start w:val="1"/>
      <w:numFmt w:val="lowerLetter"/>
      <w:lvlText w:val="%5."/>
      <w:lvlJc w:val="left"/>
      <w:pPr>
        <w:ind w:left="3720" w:hanging="360"/>
      </w:pPr>
    </w:lvl>
    <w:lvl w:ilvl="5" w:tplc="0414001B" w:tentative="1">
      <w:start w:val="1"/>
      <w:numFmt w:val="lowerRoman"/>
      <w:lvlText w:val="%6."/>
      <w:lvlJc w:val="right"/>
      <w:pPr>
        <w:ind w:left="4440" w:hanging="180"/>
      </w:pPr>
    </w:lvl>
    <w:lvl w:ilvl="6" w:tplc="0414000F" w:tentative="1">
      <w:start w:val="1"/>
      <w:numFmt w:val="decimal"/>
      <w:lvlText w:val="%7."/>
      <w:lvlJc w:val="left"/>
      <w:pPr>
        <w:ind w:left="5160" w:hanging="360"/>
      </w:pPr>
    </w:lvl>
    <w:lvl w:ilvl="7" w:tplc="04140019" w:tentative="1">
      <w:start w:val="1"/>
      <w:numFmt w:val="lowerLetter"/>
      <w:lvlText w:val="%8."/>
      <w:lvlJc w:val="left"/>
      <w:pPr>
        <w:ind w:left="5880" w:hanging="360"/>
      </w:pPr>
    </w:lvl>
    <w:lvl w:ilvl="8" w:tplc="0414001B" w:tentative="1">
      <w:start w:val="1"/>
      <w:numFmt w:val="lowerRoman"/>
      <w:lvlText w:val="%9."/>
      <w:lvlJc w:val="right"/>
      <w:pPr>
        <w:ind w:left="6600" w:hanging="180"/>
      </w:pPr>
    </w:lvl>
  </w:abstractNum>
  <w:abstractNum w:abstractNumId="15" w15:restartNumberingAfterBreak="0">
    <w:nsid w:val="3FC40DD8"/>
    <w:multiLevelType w:val="hybridMultilevel"/>
    <w:tmpl w:val="F3628FF4"/>
    <w:lvl w:ilvl="0" w:tplc="91C6CA9A">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C01A81"/>
    <w:multiLevelType w:val="hybridMultilevel"/>
    <w:tmpl w:val="A35A483C"/>
    <w:lvl w:ilvl="0" w:tplc="06ECD31E">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CE034B"/>
    <w:multiLevelType w:val="hybridMultilevel"/>
    <w:tmpl w:val="616498AA"/>
    <w:lvl w:ilvl="0" w:tplc="33FA6BF8">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7123A53"/>
    <w:multiLevelType w:val="hybridMultilevel"/>
    <w:tmpl w:val="7B362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7C74695"/>
    <w:multiLevelType w:val="hybridMultilevel"/>
    <w:tmpl w:val="EBE660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DD049E"/>
    <w:multiLevelType w:val="multilevel"/>
    <w:tmpl w:val="D506E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D5B4508"/>
    <w:multiLevelType w:val="multilevel"/>
    <w:tmpl w:val="2BB4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945AAA"/>
    <w:multiLevelType w:val="hybridMultilevel"/>
    <w:tmpl w:val="0840F32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5874684"/>
    <w:multiLevelType w:val="hybridMultilevel"/>
    <w:tmpl w:val="951007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5954F14"/>
    <w:multiLevelType w:val="hybridMultilevel"/>
    <w:tmpl w:val="1BB8C924"/>
    <w:lvl w:ilvl="0" w:tplc="2996D356">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5984118"/>
    <w:multiLevelType w:val="hybridMultilevel"/>
    <w:tmpl w:val="15ACD208"/>
    <w:lvl w:ilvl="0" w:tplc="04140011">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A1911A4"/>
    <w:multiLevelType w:val="hybridMultilevel"/>
    <w:tmpl w:val="06AC664E"/>
    <w:lvl w:ilvl="0" w:tplc="3236BDEE">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31"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37175D5"/>
    <w:multiLevelType w:val="hybridMultilevel"/>
    <w:tmpl w:val="DF50B2D0"/>
    <w:lvl w:ilvl="0" w:tplc="F94C8424">
      <w:start w:val="4"/>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802347B"/>
    <w:multiLevelType w:val="hybridMultilevel"/>
    <w:tmpl w:val="C0E2350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E125985"/>
    <w:multiLevelType w:val="hybridMultilevel"/>
    <w:tmpl w:val="6BA2C1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EC50F79"/>
    <w:multiLevelType w:val="hybridMultilevel"/>
    <w:tmpl w:val="DE3887D4"/>
    <w:lvl w:ilvl="0" w:tplc="1968180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9" w15:restartNumberingAfterBreak="0">
    <w:nsid w:val="7FA0035D"/>
    <w:multiLevelType w:val="hybridMultilevel"/>
    <w:tmpl w:val="5E8CB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FC44402"/>
    <w:multiLevelType w:val="hybridMultilevel"/>
    <w:tmpl w:val="2376D4EE"/>
    <w:lvl w:ilvl="0" w:tplc="388017C4">
      <w:start w:val="1"/>
      <w:numFmt w:val="bullet"/>
      <w:lvlText w:val="-"/>
      <w:lvlJc w:val="left"/>
      <w:pPr>
        <w:ind w:left="1380" w:hanging="360"/>
      </w:pPr>
      <w:rPr>
        <w:rFonts w:ascii="Arial" w:eastAsia="Times New Roman" w:hAnsi="Arial" w:cs="Arial" w:hint="default"/>
      </w:rPr>
    </w:lvl>
    <w:lvl w:ilvl="1" w:tplc="04140003" w:tentative="1">
      <w:start w:val="1"/>
      <w:numFmt w:val="bullet"/>
      <w:lvlText w:val="o"/>
      <w:lvlJc w:val="left"/>
      <w:pPr>
        <w:ind w:left="2100" w:hanging="360"/>
      </w:pPr>
      <w:rPr>
        <w:rFonts w:ascii="Courier New" w:hAnsi="Courier New" w:cs="Courier New" w:hint="default"/>
      </w:rPr>
    </w:lvl>
    <w:lvl w:ilvl="2" w:tplc="04140005" w:tentative="1">
      <w:start w:val="1"/>
      <w:numFmt w:val="bullet"/>
      <w:lvlText w:val=""/>
      <w:lvlJc w:val="left"/>
      <w:pPr>
        <w:ind w:left="2820" w:hanging="360"/>
      </w:pPr>
      <w:rPr>
        <w:rFonts w:ascii="Wingdings" w:hAnsi="Wingdings" w:hint="default"/>
      </w:rPr>
    </w:lvl>
    <w:lvl w:ilvl="3" w:tplc="04140001" w:tentative="1">
      <w:start w:val="1"/>
      <w:numFmt w:val="bullet"/>
      <w:lvlText w:val=""/>
      <w:lvlJc w:val="left"/>
      <w:pPr>
        <w:ind w:left="3540" w:hanging="360"/>
      </w:pPr>
      <w:rPr>
        <w:rFonts w:ascii="Symbol" w:hAnsi="Symbol" w:hint="default"/>
      </w:rPr>
    </w:lvl>
    <w:lvl w:ilvl="4" w:tplc="04140003" w:tentative="1">
      <w:start w:val="1"/>
      <w:numFmt w:val="bullet"/>
      <w:lvlText w:val="o"/>
      <w:lvlJc w:val="left"/>
      <w:pPr>
        <w:ind w:left="4260" w:hanging="360"/>
      </w:pPr>
      <w:rPr>
        <w:rFonts w:ascii="Courier New" w:hAnsi="Courier New" w:cs="Courier New" w:hint="default"/>
      </w:rPr>
    </w:lvl>
    <w:lvl w:ilvl="5" w:tplc="04140005" w:tentative="1">
      <w:start w:val="1"/>
      <w:numFmt w:val="bullet"/>
      <w:lvlText w:val=""/>
      <w:lvlJc w:val="left"/>
      <w:pPr>
        <w:ind w:left="4980" w:hanging="360"/>
      </w:pPr>
      <w:rPr>
        <w:rFonts w:ascii="Wingdings" w:hAnsi="Wingdings" w:hint="default"/>
      </w:rPr>
    </w:lvl>
    <w:lvl w:ilvl="6" w:tplc="04140001" w:tentative="1">
      <w:start w:val="1"/>
      <w:numFmt w:val="bullet"/>
      <w:lvlText w:val=""/>
      <w:lvlJc w:val="left"/>
      <w:pPr>
        <w:ind w:left="5700" w:hanging="360"/>
      </w:pPr>
      <w:rPr>
        <w:rFonts w:ascii="Symbol" w:hAnsi="Symbol" w:hint="default"/>
      </w:rPr>
    </w:lvl>
    <w:lvl w:ilvl="7" w:tplc="04140003" w:tentative="1">
      <w:start w:val="1"/>
      <w:numFmt w:val="bullet"/>
      <w:lvlText w:val="o"/>
      <w:lvlJc w:val="left"/>
      <w:pPr>
        <w:ind w:left="6420" w:hanging="360"/>
      </w:pPr>
      <w:rPr>
        <w:rFonts w:ascii="Courier New" w:hAnsi="Courier New" w:cs="Courier New" w:hint="default"/>
      </w:rPr>
    </w:lvl>
    <w:lvl w:ilvl="8" w:tplc="04140005" w:tentative="1">
      <w:start w:val="1"/>
      <w:numFmt w:val="bullet"/>
      <w:lvlText w:val=""/>
      <w:lvlJc w:val="left"/>
      <w:pPr>
        <w:ind w:left="7140" w:hanging="360"/>
      </w:pPr>
      <w:rPr>
        <w:rFonts w:ascii="Wingdings" w:hAnsi="Wingdings" w:hint="default"/>
      </w:rPr>
    </w:lvl>
  </w:abstractNum>
  <w:num w:numId="1">
    <w:abstractNumId w:val="31"/>
  </w:num>
  <w:num w:numId="2">
    <w:abstractNumId w:val="12"/>
  </w:num>
  <w:num w:numId="3">
    <w:abstractNumId w:val="36"/>
  </w:num>
  <w:num w:numId="4">
    <w:abstractNumId w:val="34"/>
  </w:num>
  <w:num w:numId="5">
    <w:abstractNumId w:val="25"/>
  </w:num>
  <w:num w:numId="6">
    <w:abstractNumId w:val="19"/>
  </w:num>
  <w:num w:numId="7">
    <w:abstractNumId w:val="6"/>
  </w:num>
  <w:num w:numId="8">
    <w:abstractNumId w:val="35"/>
  </w:num>
  <w:num w:numId="9">
    <w:abstractNumId w:val="22"/>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15"/>
  </w:num>
  <w:num w:numId="21">
    <w:abstractNumId w:val="27"/>
  </w:num>
  <w:num w:numId="22">
    <w:abstractNumId w:val="13"/>
  </w:num>
  <w:num w:numId="23">
    <w:abstractNumId w:val="4"/>
  </w:num>
  <w:num w:numId="24">
    <w:abstractNumId w:val="8"/>
  </w:num>
  <w:num w:numId="25">
    <w:abstractNumId w:val="23"/>
  </w:num>
  <w:num w:numId="26">
    <w:abstractNumId w:val="26"/>
  </w:num>
  <w:num w:numId="27">
    <w:abstractNumId w:val="5"/>
  </w:num>
  <w:num w:numId="28">
    <w:abstractNumId w:val="28"/>
  </w:num>
  <w:num w:numId="29">
    <w:abstractNumId w:val="7"/>
  </w:num>
  <w:num w:numId="30">
    <w:abstractNumId w:val="9"/>
  </w:num>
  <w:num w:numId="31">
    <w:abstractNumId w:val="33"/>
  </w:num>
  <w:num w:numId="32">
    <w:abstractNumId w:val="3"/>
  </w:num>
  <w:num w:numId="33">
    <w:abstractNumId w:val="39"/>
  </w:num>
  <w:num w:numId="34">
    <w:abstractNumId w:val="18"/>
  </w:num>
  <w:num w:numId="35">
    <w:abstractNumId w:val="24"/>
  </w:num>
  <w:num w:numId="36">
    <w:abstractNumId w:val="15"/>
  </w:num>
  <w:num w:numId="37">
    <w:abstractNumId w:val="32"/>
  </w:num>
  <w:num w:numId="38">
    <w:abstractNumId w:val="14"/>
  </w:num>
  <w:num w:numId="39">
    <w:abstractNumId w:val="37"/>
  </w:num>
  <w:num w:numId="40">
    <w:abstractNumId w:val="16"/>
  </w:num>
  <w:num w:numId="41">
    <w:abstractNumId w:val="1"/>
  </w:num>
  <w:num w:numId="42">
    <w:abstractNumId w:val="2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7"/>
  </w:num>
  <w:num w:numId="46">
    <w:abstractNumId w:val="40"/>
  </w:num>
  <w:num w:numId="47">
    <w:abstractNumId w:val="29"/>
  </w:num>
  <w:num w:numId="4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D4A44"/>
    <w:rsid w:val="000D6892"/>
    <w:rsid w:val="000E4883"/>
    <w:rsid w:val="000E5AD5"/>
    <w:rsid w:val="000F0281"/>
    <w:rsid w:val="000F69BA"/>
    <w:rsid w:val="000F7BC0"/>
    <w:rsid w:val="00100E4B"/>
    <w:rsid w:val="00106A8F"/>
    <w:rsid w:val="00110EDB"/>
    <w:rsid w:val="00120D25"/>
    <w:rsid w:val="00121766"/>
    <w:rsid w:val="00125B4F"/>
    <w:rsid w:val="00126D8B"/>
    <w:rsid w:val="00135F5D"/>
    <w:rsid w:val="001400AC"/>
    <w:rsid w:val="00141FEC"/>
    <w:rsid w:val="001510C6"/>
    <w:rsid w:val="00154B6F"/>
    <w:rsid w:val="001557C6"/>
    <w:rsid w:val="00156CB0"/>
    <w:rsid w:val="00162799"/>
    <w:rsid w:val="00170470"/>
    <w:rsid w:val="00171613"/>
    <w:rsid w:val="0018602A"/>
    <w:rsid w:val="00192CDF"/>
    <w:rsid w:val="001A00B0"/>
    <w:rsid w:val="001A38C1"/>
    <w:rsid w:val="001A7AB1"/>
    <w:rsid w:val="001A7F74"/>
    <w:rsid w:val="001B4491"/>
    <w:rsid w:val="001C381D"/>
    <w:rsid w:val="001C7496"/>
    <w:rsid w:val="001E5909"/>
    <w:rsid w:val="001E6111"/>
    <w:rsid w:val="001F00BA"/>
    <w:rsid w:val="001F22C3"/>
    <w:rsid w:val="002041A5"/>
    <w:rsid w:val="002126F3"/>
    <w:rsid w:val="00216DD8"/>
    <w:rsid w:val="00216DF4"/>
    <w:rsid w:val="00234BA8"/>
    <w:rsid w:val="00244C4B"/>
    <w:rsid w:val="0025237E"/>
    <w:rsid w:val="00264129"/>
    <w:rsid w:val="00275AE0"/>
    <w:rsid w:val="00276D30"/>
    <w:rsid w:val="002771B8"/>
    <w:rsid w:val="00282948"/>
    <w:rsid w:val="0028742F"/>
    <w:rsid w:val="002878ED"/>
    <w:rsid w:val="00292D95"/>
    <w:rsid w:val="002952F6"/>
    <w:rsid w:val="002958E5"/>
    <w:rsid w:val="002B2C9A"/>
    <w:rsid w:val="002C5C7A"/>
    <w:rsid w:val="002D1962"/>
    <w:rsid w:val="002D38B3"/>
    <w:rsid w:val="002E0E74"/>
    <w:rsid w:val="002E46FB"/>
    <w:rsid w:val="00304BFF"/>
    <w:rsid w:val="0031013C"/>
    <w:rsid w:val="00312D88"/>
    <w:rsid w:val="003149A2"/>
    <w:rsid w:val="00320AB7"/>
    <w:rsid w:val="003252C7"/>
    <w:rsid w:val="00327052"/>
    <w:rsid w:val="00327B08"/>
    <w:rsid w:val="00327FC4"/>
    <w:rsid w:val="00332692"/>
    <w:rsid w:val="003367FF"/>
    <w:rsid w:val="00346269"/>
    <w:rsid w:val="00357C1C"/>
    <w:rsid w:val="00364C4E"/>
    <w:rsid w:val="0037281E"/>
    <w:rsid w:val="0037328C"/>
    <w:rsid w:val="00397BE4"/>
    <w:rsid w:val="003A2404"/>
    <w:rsid w:val="003A3BA9"/>
    <w:rsid w:val="003A3CAE"/>
    <w:rsid w:val="003A5CF4"/>
    <w:rsid w:val="003A6D26"/>
    <w:rsid w:val="003B6418"/>
    <w:rsid w:val="003C1936"/>
    <w:rsid w:val="003D6C67"/>
    <w:rsid w:val="003F28D3"/>
    <w:rsid w:val="003F29D3"/>
    <w:rsid w:val="003F687B"/>
    <w:rsid w:val="00403111"/>
    <w:rsid w:val="00403268"/>
    <w:rsid w:val="00411124"/>
    <w:rsid w:val="0041310B"/>
    <w:rsid w:val="0041783D"/>
    <w:rsid w:val="00421D63"/>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C0AF7"/>
    <w:rsid w:val="004D4A0C"/>
    <w:rsid w:val="004D717E"/>
    <w:rsid w:val="004E34BA"/>
    <w:rsid w:val="004E36B9"/>
    <w:rsid w:val="004E4E1A"/>
    <w:rsid w:val="004F42F8"/>
    <w:rsid w:val="004F6A95"/>
    <w:rsid w:val="00501819"/>
    <w:rsid w:val="00513FDF"/>
    <w:rsid w:val="005240D4"/>
    <w:rsid w:val="0052524B"/>
    <w:rsid w:val="005270A5"/>
    <w:rsid w:val="00531ED4"/>
    <w:rsid w:val="00535429"/>
    <w:rsid w:val="0053576F"/>
    <w:rsid w:val="00544880"/>
    <w:rsid w:val="00546C8C"/>
    <w:rsid w:val="005475E0"/>
    <w:rsid w:val="00547CEC"/>
    <w:rsid w:val="005550F5"/>
    <w:rsid w:val="0056219F"/>
    <w:rsid w:val="0056233F"/>
    <w:rsid w:val="00562889"/>
    <w:rsid w:val="00562C5C"/>
    <w:rsid w:val="0057198A"/>
    <w:rsid w:val="00572966"/>
    <w:rsid w:val="0057786E"/>
    <w:rsid w:val="0058268F"/>
    <w:rsid w:val="00584F88"/>
    <w:rsid w:val="00592273"/>
    <w:rsid w:val="0059465C"/>
    <w:rsid w:val="00594B48"/>
    <w:rsid w:val="005A7DC6"/>
    <w:rsid w:val="005B074F"/>
    <w:rsid w:val="005B2E1D"/>
    <w:rsid w:val="005B5E32"/>
    <w:rsid w:val="005D2C16"/>
    <w:rsid w:val="005E2230"/>
    <w:rsid w:val="005F114D"/>
    <w:rsid w:val="005F4308"/>
    <w:rsid w:val="005F631D"/>
    <w:rsid w:val="00605E6F"/>
    <w:rsid w:val="00607A9D"/>
    <w:rsid w:val="00611314"/>
    <w:rsid w:val="00620F54"/>
    <w:rsid w:val="00621250"/>
    <w:rsid w:val="00632F59"/>
    <w:rsid w:val="00636F1B"/>
    <w:rsid w:val="00643B91"/>
    <w:rsid w:val="00652123"/>
    <w:rsid w:val="00652873"/>
    <w:rsid w:val="00662EE9"/>
    <w:rsid w:val="00680293"/>
    <w:rsid w:val="006849E3"/>
    <w:rsid w:val="006922D0"/>
    <w:rsid w:val="00692421"/>
    <w:rsid w:val="006949FF"/>
    <w:rsid w:val="00695270"/>
    <w:rsid w:val="00696FB5"/>
    <w:rsid w:val="00697D8F"/>
    <w:rsid w:val="00697DC5"/>
    <w:rsid w:val="006A0776"/>
    <w:rsid w:val="006B0C7B"/>
    <w:rsid w:val="006B4E5B"/>
    <w:rsid w:val="006B5D33"/>
    <w:rsid w:val="006B6046"/>
    <w:rsid w:val="006C1F53"/>
    <w:rsid w:val="006C4F96"/>
    <w:rsid w:val="006C6328"/>
    <w:rsid w:val="006C6960"/>
    <w:rsid w:val="006D19DB"/>
    <w:rsid w:val="006D213A"/>
    <w:rsid w:val="006D220E"/>
    <w:rsid w:val="006D24CF"/>
    <w:rsid w:val="006D43D4"/>
    <w:rsid w:val="006D44AD"/>
    <w:rsid w:val="006D7124"/>
    <w:rsid w:val="006E6679"/>
    <w:rsid w:val="006F38FF"/>
    <w:rsid w:val="006F392C"/>
    <w:rsid w:val="00707081"/>
    <w:rsid w:val="00722337"/>
    <w:rsid w:val="00731262"/>
    <w:rsid w:val="0073583A"/>
    <w:rsid w:val="00771304"/>
    <w:rsid w:val="00774374"/>
    <w:rsid w:val="00777ECB"/>
    <w:rsid w:val="00787184"/>
    <w:rsid w:val="0079288A"/>
    <w:rsid w:val="007953C5"/>
    <w:rsid w:val="007B039F"/>
    <w:rsid w:val="007B5CA2"/>
    <w:rsid w:val="007B67DF"/>
    <w:rsid w:val="007B765E"/>
    <w:rsid w:val="007C0994"/>
    <w:rsid w:val="007C09FD"/>
    <w:rsid w:val="007C391C"/>
    <w:rsid w:val="007C39FC"/>
    <w:rsid w:val="007C6786"/>
    <w:rsid w:val="007D11B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94B4B"/>
    <w:rsid w:val="008B752A"/>
    <w:rsid w:val="008C1DB9"/>
    <w:rsid w:val="008C23B2"/>
    <w:rsid w:val="008C5036"/>
    <w:rsid w:val="008C57BD"/>
    <w:rsid w:val="008C7FEE"/>
    <w:rsid w:val="008E5B61"/>
    <w:rsid w:val="008F02A5"/>
    <w:rsid w:val="00910143"/>
    <w:rsid w:val="009145FF"/>
    <w:rsid w:val="009172E4"/>
    <w:rsid w:val="0092120F"/>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11"/>
    <w:rsid w:val="009E05C7"/>
    <w:rsid w:val="009E61C1"/>
    <w:rsid w:val="009E76D2"/>
    <w:rsid w:val="00A073A7"/>
    <w:rsid w:val="00A22FAA"/>
    <w:rsid w:val="00A241A8"/>
    <w:rsid w:val="00A36837"/>
    <w:rsid w:val="00A41FD5"/>
    <w:rsid w:val="00A42287"/>
    <w:rsid w:val="00A46F20"/>
    <w:rsid w:val="00A56F77"/>
    <w:rsid w:val="00A617A4"/>
    <w:rsid w:val="00A634F4"/>
    <w:rsid w:val="00A65966"/>
    <w:rsid w:val="00A71CD3"/>
    <w:rsid w:val="00A724D8"/>
    <w:rsid w:val="00A72F71"/>
    <w:rsid w:val="00A7637D"/>
    <w:rsid w:val="00A81A6D"/>
    <w:rsid w:val="00A8388B"/>
    <w:rsid w:val="00A84B30"/>
    <w:rsid w:val="00A86D86"/>
    <w:rsid w:val="00A907D4"/>
    <w:rsid w:val="00A91DB8"/>
    <w:rsid w:val="00A93926"/>
    <w:rsid w:val="00A94372"/>
    <w:rsid w:val="00A94670"/>
    <w:rsid w:val="00A96F29"/>
    <w:rsid w:val="00A974F4"/>
    <w:rsid w:val="00AA4070"/>
    <w:rsid w:val="00AB390E"/>
    <w:rsid w:val="00AB3B5C"/>
    <w:rsid w:val="00AC032B"/>
    <w:rsid w:val="00AD29A7"/>
    <w:rsid w:val="00AE18BC"/>
    <w:rsid w:val="00AF1768"/>
    <w:rsid w:val="00AF39D1"/>
    <w:rsid w:val="00B01DCA"/>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54696"/>
    <w:rsid w:val="00B601D1"/>
    <w:rsid w:val="00B63CCD"/>
    <w:rsid w:val="00B741C8"/>
    <w:rsid w:val="00B81485"/>
    <w:rsid w:val="00B8174A"/>
    <w:rsid w:val="00B86CA8"/>
    <w:rsid w:val="00B928D8"/>
    <w:rsid w:val="00B936CB"/>
    <w:rsid w:val="00B93DAC"/>
    <w:rsid w:val="00BA0BF1"/>
    <w:rsid w:val="00BA1E56"/>
    <w:rsid w:val="00BA6E69"/>
    <w:rsid w:val="00BC2EB4"/>
    <w:rsid w:val="00BC381B"/>
    <w:rsid w:val="00BC6F54"/>
    <w:rsid w:val="00BE3703"/>
    <w:rsid w:val="00BE509F"/>
    <w:rsid w:val="00BE548F"/>
    <w:rsid w:val="00BE6EF3"/>
    <w:rsid w:val="00BF0E4B"/>
    <w:rsid w:val="00BF3E77"/>
    <w:rsid w:val="00BF50F6"/>
    <w:rsid w:val="00C03D87"/>
    <w:rsid w:val="00C05A18"/>
    <w:rsid w:val="00C14162"/>
    <w:rsid w:val="00C20CE1"/>
    <w:rsid w:val="00C21BA8"/>
    <w:rsid w:val="00C23816"/>
    <w:rsid w:val="00C31528"/>
    <w:rsid w:val="00C40DFE"/>
    <w:rsid w:val="00C424A1"/>
    <w:rsid w:val="00C53EBF"/>
    <w:rsid w:val="00C55FFC"/>
    <w:rsid w:val="00C6326B"/>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D7DB4"/>
    <w:rsid w:val="00CE479A"/>
    <w:rsid w:val="00CF3FB7"/>
    <w:rsid w:val="00CF5D17"/>
    <w:rsid w:val="00D00DA5"/>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C7C8D"/>
    <w:rsid w:val="00DD718A"/>
    <w:rsid w:val="00DE2E51"/>
    <w:rsid w:val="00DF16C7"/>
    <w:rsid w:val="00DF7B4A"/>
    <w:rsid w:val="00E000CB"/>
    <w:rsid w:val="00E1081D"/>
    <w:rsid w:val="00E1112B"/>
    <w:rsid w:val="00E11EF4"/>
    <w:rsid w:val="00E1474C"/>
    <w:rsid w:val="00E175FC"/>
    <w:rsid w:val="00E25D12"/>
    <w:rsid w:val="00E25D91"/>
    <w:rsid w:val="00E25E3D"/>
    <w:rsid w:val="00E27EBA"/>
    <w:rsid w:val="00E331F2"/>
    <w:rsid w:val="00E33385"/>
    <w:rsid w:val="00E37B04"/>
    <w:rsid w:val="00E457FE"/>
    <w:rsid w:val="00E55782"/>
    <w:rsid w:val="00E7130C"/>
    <w:rsid w:val="00E721F0"/>
    <w:rsid w:val="00E73666"/>
    <w:rsid w:val="00E77E2B"/>
    <w:rsid w:val="00E92149"/>
    <w:rsid w:val="00EA5F6E"/>
    <w:rsid w:val="00EA613E"/>
    <w:rsid w:val="00EA657A"/>
    <w:rsid w:val="00EB5A00"/>
    <w:rsid w:val="00EC705C"/>
    <w:rsid w:val="00ED177C"/>
    <w:rsid w:val="00ED32CC"/>
    <w:rsid w:val="00ED5D25"/>
    <w:rsid w:val="00EE221F"/>
    <w:rsid w:val="00EE2B9E"/>
    <w:rsid w:val="00EE611A"/>
    <w:rsid w:val="00EE7565"/>
    <w:rsid w:val="00EF1A5A"/>
    <w:rsid w:val="00EF22E9"/>
    <w:rsid w:val="00F206B0"/>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 w:type="character" w:customStyle="1" w:styleId="longdoc-highlight">
    <w:name w:val="longdoc-highlight"/>
    <w:basedOn w:val="Standardskriftforavsnitt"/>
    <w:rsid w:val="00B601D1"/>
  </w:style>
  <w:style w:type="paragraph" w:styleId="INNH1">
    <w:name w:val="toc 1"/>
    <w:basedOn w:val="Normal"/>
    <w:next w:val="Normal"/>
    <w:autoRedefine/>
    <w:rsid w:val="000D4A44"/>
    <w:pPr>
      <w:spacing w:after="0" w:line="240" w:lineRule="auto"/>
    </w:pPr>
    <w:rPr>
      <w:rFonts w:ascii="Times New Roman" w:eastAsia="Times New Roman" w:hAnsi="Times New Roman" w:cs="Times New Roman"/>
      <w:b/>
      <w:szCs w:val="24"/>
      <w:lang w:eastAsia="en-US"/>
    </w:rPr>
  </w:style>
  <w:style w:type="paragraph" w:styleId="INNH2">
    <w:name w:val="toc 2"/>
    <w:basedOn w:val="Normal"/>
    <w:next w:val="Normal"/>
    <w:autoRedefine/>
    <w:rsid w:val="000D4A44"/>
    <w:pPr>
      <w:spacing w:after="0" w:line="240" w:lineRule="auto"/>
      <w:ind w:left="240"/>
    </w:pPr>
    <w:rPr>
      <w:rFonts w:ascii="Times New Roman" w:eastAsia="Times New Roman" w:hAnsi="Times New Roman" w:cs="Times New Roman"/>
      <w:b/>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297612343">
      <w:bodyDiv w:val="1"/>
      <w:marLeft w:val="0"/>
      <w:marRight w:val="0"/>
      <w:marTop w:val="0"/>
      <w:marBottom w:val="0"/>
      <w:divBdr>
        <w:top w:val="none" w:sz="0" w:space="0" w:color="auto"/>
        <w:left w:val="none" w:sz="0" w:space="0" w:color="auto"/>
        <w:bottom w:val="none" w:sz="0" w:space="0" w:color="auto"/>
        <w:right w:val="none" w:sz="0" w:space="0" w:color="auto"/>
      </w:divBdr>
      <w:divsChild>
        <w:div w:id="1925605171">
          <w:marLeft w:val="0"/>
          <w:marRight w:val="0"/>
          <w:marTop w:val="0"/>
          <w:marBottom w:val="0"/>
          <w:divBdr>
            <w:top w:val="none" w:sz="0" w:space="0" w:color="auto"/>
            <w:left w:val="none" w:sz="0" w:space="0" w:color="auto"/>
            <w:bottom w:val="none" w:sz="0" w:space="0" w:color="auto"/>
            <w:right w:val="none" w:sz="0" w:space="0" w:color="auto"/>
          </w:divBdr>
        </w:div>
        <w:div w:id="814106436">
          <w:marLeft w:val="0"/>
          <w:marRight w:val="0"/>
          <w:marTop w:val="0"/>
          <w:marBottom w:val="0"/>
          <w:divBdr>
            <w:top w:val="none" w:sz="0" w:space="0" w:color="auto"/>
            <w:left w:val="none" w:sz="0" w:space="0" w:color="auto"/>
            <w:bottom w:val="none" w:sz="0" w:space="0" w:color="auto"/>
            <w:right w:val="none" w:sz="0" w:space="0" w:color="auto"/>
          </w:divBdr>
        </w:div>
      </w:divsChild>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06513774">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ktisk.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96AF4A-43A4-4219-926A-32D90630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1303</Words>
  <Characters>6906</Characters>
  <Application>Microsoft Office Word</Application>
  <DocSecurity>0</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4</cp:revision>
  <cp:lastPrinted>2020-10-28T11:05:00Z</cp:lastPrinted>
  <dcterms:created xsi:type="dcterms:W3CDTF">2020-10-28T11:03:00Z</dcterms:created>
  <dcterms:modified xsi:type="dcterms:W3CDTF">2020-10-28T11:36:00Z</dcterms:modified>
</cp:coreProperties>
</file>