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6C80E" w14:textId="77777777" w:rsidR="00A77B3E" w:rsidRDefault="00A77B3E">
      <w:pPr>
        <w:rPr>
          <w:color w:val="000000"/>
        </w:rPr>
      </w:pPr>
    </w:p>
    <w:p w14:paraId="7055A2F1" w14:textId="77777777" w:rsidR="00A77B3E" w:rsidRDefault="00B9717A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2058D9EF" w14:textId="77777777" w:rsidR="00A77B3E" w:rsidRDefault="00B9717A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720FB4D" wp14:editId="775597C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88303" cy="241599"/>
            <wp:effectExtent l="0" t="0" r="0" b="0"/>
            <wp:wrapTopAndBottom/>
            <wp:docPr id="100001" name="Bild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9360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303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D6C56" w14:textId="77777777" w:rsidR="00A77B3E" w:rsidRDefault="00B9717A">
      <w:pPr>
        <w:pStyle w:val="Overskrift1"/>
        <w:jc w:val="center"/>
        <w:rPr>
          <w:color w:val="000000"/>
        </w:rPr>
      </w:pPr>
      <w:bookmarkStart w:id="0" w:name="_Toc256000000"/>
      <w:proofErr w:type="spellStart"/>
      <w:r>
        <w:rPr>
          <w:color w:val="000000"/>
        </w:rPr>
        <w:t>Noregs</w:t>
      </w:r>
      <w:proofErr w:type="spellEnd"/>
      <w:r>
        <w:rPr>
          <w:color w:val="000000"/>
        </w:rPr>
        <w:t xml:space="preserve"> Høgsterett - Dom - HR-2019-2038-A</w:t>
      </w:r>
      <w:bookmarkEnd w:id="0"/>
    </w:p>
    <w:p w14:paraId="1721CFCC" w14:textId="77777777" w:rsidR="00A4564E" w:rsidRDefault="00A4564E">
      <w:pPr>
        <w:jc w:val="center"/>
        <w:rPr>
          <w:sz w:val="22"/>
        </w:rPr>
      </w:pPr>
    </w:p>
    <w:p w14:paraId="072D9390" w14:textId="77777777" w:rsidR="00A4564E" w:rsidRDefault="00A4564E">
      <w:pPr>
        <w:jc w:val="center"/>
        <w:rPr>
          <w:sz w:val="22"/>
        </w:rPr>
      </w:pPr>
      <w:bookmarkStart w:id="1" w:name="documentMeta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7400"/>
      </w:tblGrid>
      <w:tr w:rsidR="00A4564E" w14:paraId="0F388F9B" w14:textId="77777777">
        <w:tc>
          <w:tcPr>
            <w:tcW w:w="2000" w:type="dxa"/>
          </w:tcPr>
          <w:p w14:paraId="7A82B59A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Instans</w:t>
            </w:r>
          </w:p>
        </w:tc>
        <w:tc>
          <w:tcPr>
            <w:tcW w:w="6000" w:type="dxa"/>
          </w:tcPr>
          <w:p w14:paraId="037DE14A" w14:textId="77777777" w:rsidR="00A4564E" w:rsidRDefault="00B9717A">
            <w:pPr>
              <w:spacing w:before="100"/>
              <w:rPr>
                <w:sz w:val="22"/>
              </w:rPr>
            </w:pPr>
            <w:proofErr w:type="spellStart"/>
            <w:r>
              <w:rPr>
                <w:sz w:val="22"/>
              </w:rPr>
              <w:t>Noregs</w:t>
            </w:r>
            <w:proofErr w:type="spellEnd"/>
            <w:r>
              <w:rPr>
                <w:sz w:val="22"/>
              </w:rPr>
              <w:t xml:space="preserve"> Høgsterett – Dom</w:t>
            </w:r>
          </w:p>
        </w:tc>
      </w:tr>
      <w:tr w:rsidR="00A4564E" w14:paraId="17A636B4" w14:textId="77777777">
        <w:tc>
          <w:tcPr>
            <w:tcW w:w="2000" w:type="dxa"/>
          </w:tcPr>
          <w:p w14:paraId="07E9D7DF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6000" w:type="dxa"/>
          </w:tcPr>
          <w:p w14:paraId="310B4015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2019-11-05</w:t>
            </w:r>
          </w:p>
        </w:tc>
      </w:tr>
      <w:tr w:rsidR="00A4564E" w14:paraId="1C099139" w14:textId="77777777">
        <w:tc>
          <w:tcPr>
            <w:tcW w:w="2000" w:type="dxa"/>
          </w:tcPr>
          <w:p w14:paraId="5E8D5F65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Publisert</w:t>
            </w:r>
          </w:p>
        </w:tc>
        <w:tc>
          <w:tcPr>
            <w:tcW w:w="6000" w:type="dxa"/>
          </w:tcPr>
          <w:p w14:paraId="709194E2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HR-2019-2038-A</w:t>
            </w:r>
          </w:p>
        </w:tc>
      </w:tr>
      <w:tr w:rsidR="00A4564E" w14:paraId="55C352C8" w14:textId="77777777">
        <w:tc>
          <w:tcPr>
            <w:tcW w:w="2000" w:type="dxa"/>
          </w:tcPr>
          <w:p w14:paraId="3614F992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Stikkord</w:t>
            </w:r>
          </w:p>
        </w:tc>
        <w:tc>
          <w:tcPr>
            <w:tcW w:w="6000" w:type="dxa"/>
          </w:tcPr>
          <w:p w14:paraId="5DB722EA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Strafferett. Privatlivets fred. Ytringsfrihet. Facebook.</w:t>
            </w:r>
          </w:p>
        </w:tc>
      </w:tr>
      <w:tr w:rsidR="00A4564E" w14:paraId="6114618D" w14:textId="77777777">
        <w:tc>
          <w:tcPr>
            <w:tcW w:w="2000" w:type="dxa"/>
          </w:tcPr>
          <w:p w14:paraId="414BB273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Sammendrag</w:t>
            </w:r>
          </w:p>
        </w:tc>
        <w:tc>
          <w:tcPr>
            <w:tcW w:w="6000" w:type="dxa"/>
          </w:tcPr>
          <w:p w14:paraId="1009BFEB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 xml:space="preserve">En mor som var i konflikt med barnevernet som </w:t>
            </w:r>
            <w:r>
              <w:rPr>
                <w:sz w:val="22"/>
              </w:rPr>
              <w:t xml:space="preserve">følge av overtakelse av omsorg for datteren, hadde publisert bilder og videoklipp som viste datteren i sårbare situasjoner, egne referater av samtaler med datteren og brev fra barnevernet med vurderinger av datteren, på sosiale medier. Høyesterett kom som </w:t>
            </w:r>
            <w:r>
              <w:rPr>
                <w:sz w:val="22"/>
              </w:rPr>
              <w:t>de tidligere instanser til at forholdet ble rammet av strl. § 267. Informasjonen var klart omfattet av begrepet «privatlivets fred». Verken datteren eller moren kunne samtykke til offentliggjøring slik at denne ikke ble rettsstridig. Straff etter strl. § 2</w:t>
            </w:r>
            <w:r>
              <w:rPr>
                <w:sz w:val="22"/>
              </w:rPr>
              <w:t>67 ville i dette tilfellet heller ikke innebære krenkelse av Grunnloven § 100, EMK artikkel 10 eller SP artikkel 19. (</w:t>
            </w:r>
            <w:proofErr w:type="spellStart"/>
            <w:r>
              <w:rPr>
                <w:sz w:val="22"/>
              </w:rPr>
              <w:t>Rt</w:t>
            </w:r>
            <w:proofErr w:type="spellEnd"/>
            <w:r>
              <w:rPr>
                <w:sz w:val="22"/>
              </w:rPr>
              <w:t>-sammendrag)</w:t>
            </w:r>
          </w:p>
        </w:tc>
      </w:tr>
      <w:tr w:rsidR="00A4564E" w14:paraId="51A5AE2A" w14:textId="77777777">
        <w:tc>
          <w:tcPr>
            <w:tcW w:w="2000" w:type="dxa"/>
          </w:tcPr>
          <w:p w14:paraId="65EF4D7D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Saksgang</w:t>
            </w:r>
          </w:p>
        </w:tc>
        <w:tc>
          <w:tcPr>
            <w:tcW w:w="6000" w:type="dxa"/>
          </w:tcPr>
          <w:p w14:paraId="287CAA80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Nord-Troms tingrett TNHER-2018-118766 – Hålogaland lagmannsrett LH-2019-1192 – Høgsterett HR-2019-2038-A, (sak nr</w:t>
            </w:r>
            <w:r>
              <w:rPr>
                <w:sz w:val="22"/>
              </w:rPr>
              <w:t>. 19-074591STR-HRET).</w:t>
            </w:r>
          </w:p>
        </w:tc>
      </w:tr>
      <w:tr w:rsidR="00A4564E" w14:paraId="761D5B0E" w14:textId="77777777">
        <w:tc>
          <w:tcPr>
            <w:tcW w:w="2000" w:type="dxa"/>
          </w:tcPr>
          <w:p w14:paraId="5C176DE7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Parter</w:t>
            </w:r>
          </w:p>
        </w:tc>
        <w:tc>
          <w:tcPr>
            <w:tcW w:w="6000" w:type="dxa"/>
          </w:tcPr>
          <w:p w14:paraId="09E01F4C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A (advokat John Christian Elden) mot Påtalemakta (statsadvokat Tor Børge Nordmo).</w:t>
            </w:r>
          </w:p>
        </w:tc>
      </w:tr>
      <w:tr w:rsidR="00A4564E" w14:paraId="0626208A" w14:textId="77777777">
        <w:tc>
          <w:tcPr>
            <w:tcW w:w="2000" w:type="dxa"/>
          </w:tcPr>
          <w:p w14:paraId="5F3B2DFB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Forfatter</w:t>
            </w:r>
          </w:p>
        </w:tc>
        <w:tc>
          <w:tcPr>
            <w:tcW w:w="6000" w:type="dxa"/>
          </w:tcPr>
          <w:p w14:paraId="7C5FE6CC" w14:textId="77777777" w:rsidR="00A4564E" w:rsidRDefault="00B9717A">
            <w:pPr>
              <w:spacing w:before="100"/>
              <w:rPr>
                <w:sz w:val="22"/>
              </w:rPr>
            </w:pPr>
            <w:proofErr w:type="spellStart"/>
            <w:r>
              <w:rPr>
                <w:sz w:val="22"/>
              </w:rPr>
              <w:t>Dommarane</w:t>
            </w:r>
            <w:proofErr w:type="spellEnd"/>
            <w:r>
              <w:rPr>
                <w:sz w:val="22"/>
              </w:rPr>
              <w:t xml:space="preserve"> Borgar Høgetveit Berg, Ragnhild Noer, Per Erik Bergsjø, Erik Thyness og Hilde Indreberg.</w:t>
            </w:r>
          </w:p>
        </w:tc>
      </w:tr>
      <w:tr w:rsidR="00A4564E" w14:paraId="068C21B5" w14:textId="77777777">
        <w:tc>
          <w:tcPr>
            <w:tcW w:w="2000" w:type="dxa"/>
          </w:tcPr>
          <w:p w14:paraId="7FBB0E7E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Sist oppdatert</w:t>
            </w:r>
          </w:p>
        </w:tc>
        <w:tc>
          <w:tcPr>
            <w:tcW w:w="6000" w:type="dxa"/>
          </w:tcPr>
          <w:p w14:paraId="4627F91A" w14:textId="77777777" w:rsidR="00A4564E" w:rsidRDefault="00B9717A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2019-11-07</w:t>
            </w:r>
          </w:p>
        </w:tc>
      </w:tr>
    </w:tbl>
    <w:p w14:paraId="48F5C644" w14:textId="77777777" w:rsidR="00A4564E" w:rsidRDefault="00A4564E">
      <w:pPr>
        <w:spacing w:before="100"/>
        <w:jc w:val="center"/>
        <w:rPr>
          <w:sz w:val="22"/>
        </w:rPr>
      </w:pPr>
    </w:p>
    <w:p w14:paraId="17C3EA4F" w14:textId="77777777" w:rsidR="00A4564E" w:rsidRDefault="00B9717A">
      <w:pPr>
        <w:jc w:val="center"/>
        <w:rPr>
          <w:sz w:val="22"/>
        </w:rPr>
      </w:pPr>
      <w:r>
        <w:pict w14:anchorId="29ABBEB3">
          <v:rect id="_x0000_i1025" style="width:493.3pt;height:2.25pt" o:hralign="center" o:hrstd="t" o:hrnoshade="t" o:hr="t" fillcolor="#cd0c1a" stroked="f">
            <v:path strokeok="f"/>
          </v:rect>
        </w:pict>
      </w:r>
    </w:p>
    <w:p w14:paraId="520096BD" w14:textId="77777777" w:rsidR="00A4564E" w:rsidRDefault="00B9717A">
      <w:pPr>
        <w:jc w:val="center"/>
        <w:rPr>
          <w:sz w:val="22"/>
        </w:rPr>
      </w:pPr>
      <w:r>
        <w:rPr>
          <w:sz w:val="22"/>
        </w:rPr>
        <w:br w:type="page"/>
      </w:r>
      <w:bookmarkEnd w:id="1"/>
    </w:p>
    <w:p w14:paraId="7BA3B9C8" w14:textId="77777777" w:rsidR="00A4564E" w:rsidRDefault="00B9717A">
      <w:pPr>
        <w:pStyle w:val="Overskrift2"/>
        <w:spacing w:before="0" w:after="0"/>
        <w:jc w:val="center"/>
        <w:rPr>
          <w:sz w:val="22"/>
        </w:rPr>
      </w:pPr>
      <w:bookmarkStart w:id="2" w:name="_Toc256000001"/>
      <w:r>
        <w:rPr>
          <w:sz w:val="22"/>
        </w:rPr>
        <w:t>I</w:t>
      </w:r>
      <w:r>
        <w:rPr>
          <w:sz w:val="22"/>
        </w:rPr>
        <w:t>nnholdsfortegnelse</w:t>
      </w:r>
      <w:bookmarkEnd w:id="2"/>
    </w:p>
    <w:p w14:paraId="531B27CA" w14:textId="77777777" w:rsidR="00A4564E" w:rsidRDefault="00B9717A">
      <w:pPr>
        <w:pStyle w:val="INNH1"/>
        <w:tabs>
          <w:tab w:val="right" w:leader="dot" w:pos="9456"/>
        </w:tabs>
        <w:ind w:right="1000"/>
        <w:rPr>
          <w:rFonts w:ascii="Calibri" w:hAnsi="Calibri"/>
          <w:noProof/>
        </w:rPr>
      </w:pPr>
      <w:r>
        <w:fldChar w:fldCharType="begin"/>
      </w:r>
      <w:r>
        <w:instrText>TOC \o "1-9" \z \u \h</w:instrText>
      </w:r>
      <w:r>
        <w:fldChar w:fldCharType="separate"/>
      </w:r>
      <w:hyperlink w:anchor="_Toc256000000" w:history="1">
        <w:r w:rsidR="00A77B3E">
          <w:rPr>
            <w:rStyle w:val="Hyperkobling"/>
          </w:rPr>
          <w:t>Noregs Høgsterett - Dom - HR-2019-2038-A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3D24D38" w14:textId="77777777" w:rsidR="00A4564E" w:rsidRDefault="00B9717A">
      <w:pPr>
        <w:pStyle w:val="INNH2"/>
        <w:tabs>
          <w:tab w:val="right" w:leader="dot" w:pos="9456"/>
        </w:tabs>
        <w:ind w:right="1000"/>
        <w:rPr>
          <w:rFonts w:ascii="Calibri" w:hAnsi="Calibri"/>
          <w:noProof/>
        </w:rPr>
      </w:pPr>
      <w:hyperlink w:anchor="_Toc256000001" w:history="1">
        <w:r>
          <w:rPr>
            <w:rStyle w:val="Hyperkobling"/>
          </w:rPr>
          <w:t>Innholdsfortegnelse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5E93935" w14:textId="03E29D84" w:rsidR="00A4564E" w:rsidRDefault="00B9717A">
      <w:pPr>
        <w:pStyle w:val="Overskrift2"/>
        <w:spacing w:before="0" w:after="0"/>
        <w:jc w:val="center"/>
        <w:rPr>
          <w:sz w:val="22"/>
        </w:rPr>
      </w:pPr>
      <w:r>
        <w:rPr>
          <w:sz w:val="22"/>
        </w:rPr>
        <w:fldChar w:fldCharType="end"/>
      </w:r>
      <w:bookmarkStart w:id="3" w:name="_GoBack"/>
      <w:bookmarkEnd w:id="3"/>
    </w:p>
    <w:p w14:paraId="1F447442" w14:textId="77777777" w:rsidR="00A4564E" w:rsidRDefault="00A4564E">
      <w:pPr>
        <w:rPr>
          <w:sz w:val="6"/>
        </w:rPr>
      </w:pPr>
      <w:bookmarkStart w:id="4" w:name="documentBody"/>
    </w:p>
    <w:p w14:paraId="202CBED4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E859E23" w14:textId="77777777">
        <w:tc>
          <w:tcPr>
            <w:tcW w:w="720" w:type="dxa"/>
            <w:noWrap/>
            <w:tcMar>
              <w:right w:w="80" w:type="dxa"/>
            </w:tcMar>
          </w:tcPr>
          <w:p w14:paraId="6FA17CFD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2144FC09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Dommar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Høgetveit Berg:</w:t>
            </w:r>
            <w:r>
              <w:rPr>
                <w:sz w:val="22"/>
              </w:rPr>
              <w:t xml:space="preserve"> Saka gjeld tiltale for </w:t>
            </w:r>
            <w:proofErr w:type="spellStart"/>
            <w:r>
              <w:rPr>
                <w:sz w:val="22"/>
              </w:rPr>
              <w:t>brot</w:t>
            </w:r>
            <w:proofErr w:type="spellEnd"/>
            <w:r>
              <w:rPr>
                <w:sz w:val="22"/>
              </w:rPr>
              <w:t xml:space="preserve"> på </w:t>
            </w:r>
            <w:hyperlink r:id="rId7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>. Spørsmålet er om publiserin</w:t>
            </w:r>
            <w:r>
              <w:rPr>
                <w:sz w:val="22"/>
              </w:rPr>
              <w:t xml:space="preserve">g av </w:t>
            </w:r>
            <w:proofErr w:type="spellStart"/>
            <w:r>
              <w:rPr>
                <w:sz w:val="22"/>
              </w:rPr>
              <w:t>opplysningar</w:t>
            </w:r>
            <w:proofErr w:type="spellEnd"/>
            <w:r>
              <w:rPr>
                <w:sz w:val="22"/>
              </w:rPr>
              <w:t xml:space="preserve"> om eige barn på sosiale medium </w:t>
            </w:r>
            <w:proofErr w:type="spellStart"/>
            <w:r>
              <w:rPr>
                <w:sz w:val="22"/>
              </w:rPr>
              <w:t>krenkjer</w:t>
            </w:r>
            <w:proofErr w:type="spellEnd"/>
            <w:r>
              <w:rPr>
                <w:sz w:val="22"/>
              </w:rPr>
              <w:t xml:space="preserve"> privatlivets fred.</w:t>
            </w:r>
          </w:p>
        </w:tc>
      </w:tr>
    </w:tbl>
    <w:p w14:paraId="17109FC0" w14:textId="77777777" w:rsidR="00A4564E" w:rsidRDefault="00A4564E">
      <w:pPr>
        <w:rPr>
          <w:sz w:val="6"/>
        </w:rPr>
      </w:pPr>
    </w:p>
    <w:p w14:paraId="73CD461D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7F69D33C" w14:textId="77777777">
        <w:tc>
          <w:tcPr>
            <w:tcW w:w="720" w:type="dxa"/>
            <w:noWrap/>
            <w:tcMar>
              <w:right w:w="80" w:type="dxa"/>
            </w:tcMar>
          </w:tcPr>
          <w:p w14:paraId="2507BDAC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35044222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proofErr w:type="spellStart"/>
            <w:r>
              <w:rPr>
                <w:sz w:val="22"/>
              </w:rPr>
              <w:t>fekk</w:t>
            </w:r>
            <w:proofErr w:type="spellEnd"/>
            <w:r>
              <w:rPr>
                <w:sz w:val="22"/>
              </w:rPr>
              <w:t xml:space="preserve"> dottera B i [måned] 2009. Den 15. juni 2016 vedtok fylkesnemnda å overføre omsorga for B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A til [Kommune]. J, </w:t>
            </w:r>
            <w:proofErr w:type="spellStart"/>
            <w:r>
              <w:rPr>
                <w:sz w:val="22"/>
              </w:rPr>
              <w:t>syster</w:t>
            </w:r>
            <w:proofErr w:type="spellEnd"/>
            <w:r>
              <w:rPr>
                <w:sz w:val="22"/>
              </w:rPr>
              <w:t xml:space="preserve"> til A, skulle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fostermor, slik </w:t>
            </w:r>
            <w:proofErr w:type="spellStart"/>
            <w:r>
              <w:rPr>
                <w:sz w:val="22"/>
              </w:rPr>
              <w:t>ho</w:t>
            </w:r>
            <w:proofErr w:type="spellEnd"/>
            <w:r>
              <w:rPr>
                <w:sz w:val="22"/>
              </w:rPr>
              <w:t xml:space="preserve"> også ha</w:t>
            </w:r>
            <w:r>
              <w:rPr>
                <w:sz w:val="22"/>
              </w:rPr>
              <w:t xml:space="preserve">dde </w:t>
            </w:r>
            <w:proofErr w:type="spellStart"/>
            <w:r>
              <w:rPr>
                <w:sz w:val="22"/>
              </w:rPr>
              <w:t>vore</w:t>
            </w:r>
            <w:proofErr w:type="spellEnd"/>
            <w:r>
              <w:rPr>
                <w:sz w:val="22"/>
              </w:rPr>
              <w:t xml:space="preserve"> ei kort tid i 2014. Vedtaket </w:t>
            </w:r>
            <w:proofErr w:type="spellStart"/>
            <w:r>
              <w:rPr>
                <w:sz w:val="22"/>
              </w:rPr>
              <w:t>vart</w:t>
            </w:r>
            <w:proofErr w:type="spellEnd"/>
            <w:r>
              <w:rPr>
                <w:sz w:val="22"/>
              </w:rPr>
              <w:t xml:space="preserve"> anka. Den 23. august 2016 vart B plassert i beredskapsheim. I oktober same året </w:t>
            </w:r>
            <w:proofErr w:type="spellStart"/>
            <w:r>
              <w:rPr>
                <w:sz w:val="22"/>
              </w:rPr>
              <w:t>trekte</w:t>
            </w:r>
            <w:proofErr w:type="spellEnd"/>
            <w:r>
              <w:rPr>
                <w:sz w:val="22"/>
              </w:rPr>
              <w:t xml:space="preserve"> A kravet om overprøving av omsorgsovertakinga. Ho </w:t>
            </w:r>
            <w:proofErr w:type="spellStart"/>
            <w:r>
              <w:rPr>
                <w:sz w:val="22"/>
              </w:rPr>
              <w:t>opprettheldt</w:t>
            </w:r>
            <w:proofErr w:type="spellEnd"/>
            <w:r>
              <w:rPr>
                <w:sz w:val="22"/>
              </w:rPr>
              <w:t xml:space="preserve"> derimot kravet om direkteplassering hjå J. Etter dom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Nord-T</w:t>
            </w:r>
            <w:r>
              <w:rPr>
                <w:sz w:val="22"/>
              </w:rPr>
              <w:t>roms tingrett 16. desember 2016 tok [Kommune] over omsorga for B samstundes som ho vart plassert i fosterheim hjå J.</w:t>
            </w:r>
          </w:p>
        </w:tc>
      </w:tr>
    </w:tbl>
    <w:p w14:paraId="19D9B08A" w14:textId="77777777" w:rsidR="00A4564E" w:rsidRDefault="00A4564E">
      <w:pPr>
        <w:rPr>
          <w:sz w:val="6"/>
        </w:rPr>
      </w:pPr>
    </w:p>
    <w:p w14:paraId="4F566ED4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C74E2B9" w14:textId="77777777">
        <w:tc>
          <w:tcPr>
            <w:tcW w:w="720" w:type="dxa"/>
            <w:noWrap/>
            <w:tcMar>
              <w:right w:w="80" w:type="dxa"/>
            </w:tcMar>
          </w:tcPr>
          <w:p w14:paraId="41E6ACE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9841DB7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I april 2017 oppretta A Facebook-gruppa «B</w:t>
            </w:r>
            <w:r>
              <w:rPr>
                <w:sz w:val="22"/>
              </w:rPr>
              <w:t xml:space="preserve"> skal hjem». Gruppa hadde på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tidspunkt om lag 5000 </w:t>
            </w:r>
            <w:proofErr w:type="spellStart"/>
            <w:r>
              <w:rPr>
                <w:sz w:val="22"/>
              </w:rPr>
              <w:t>fylgjarar</w:t>
            </w:r>
            <w:proofErr w:type="spellEnd"/>
            <w:r>
              <w:rPr>
                <w:sz w:val="22"/>
              </w:rPr>
              <w:t xml:space="preserve">, men er i dag sletta. Gruppa var </w:t>
            </w:r>
            <w:proofErr w:type="spellStart"/>
            <w:r>
              <w:rPr>
                <w:sz w:val="22"/>
              </w:rPr>
              <w:t>open</w:t>
            </w:r>
            <w:proofErr w:type="spellEnd"/>
            <w:r>
              <w:rPr>
                <w:sz w:val="22"/>
              </w:rPr>
              <w:t>, men høvet til å poste innlegg var avgrensa.</w:t>
            </w:r>
          </w:p>
        </w:tc>
      </w:tr>
    </w:tbl>
    <w:p w14:paraId="5B2ACCF7" w14:textId="77777777" w:rsidR="00A4564E" w:rsidRDefault="00A4564E">
      <w:pPr>
        <w:rPr>
          <w:sz w:val="6"/>
        </w:rPr>
      </w:pPr>
    </w:p>
    <w:p w14:paraId="14060004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0C3E1CE5" w14:textId="77777777">
        <w:tc>
          <w:tcPr>
            <w:tcW w:w="720" w:type="dxa"/>
            <w:noWrap/>
            <w:tcMar>
              <w:right w:w="80" w:type="dxa"/>
            </w:tcMar>
          </w:tcPr>
          <w:p w14:paraId="453B5C97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115BDD1B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Politimeisteren</w:t>
            </w:r>
            <w:proofErr w:type="spellEnd"/>
            <w:r>
              <w:rPr>
                <w:sz w:val="22"/>
              </w:rPr>
              <w:t xml:space="preserve"> i Troms gav 23. mai 2018 </w:t>
            </w:r>
            <w:proofErr w:type="spellStart"/>
            <w:r>
              <w:rPr>
                <w:sz w:val="22"/>
              </w:rPr>
              <w:t>førelegg</w:t>
            </w:r>
            <w:proofErr w:type="spellEnd"/>
            <w:r>
              <w:rPr>
                <w:sz w:val="22"/>
              </w:rPr>
              <w:t xml:space="preserve"> for </w:t>
            </w:r>
            <w:proofErr w:type="spellStart"/>
            <w:r>
              <w:rPr>
                <w:sz w:val="22"/>
              </w:rPr>
              <w:t>brot</w:t>
            </w:r>
            <w:proofErr w:type="spellEnd"/>
            <w:r>
              <w:rPr>
                <w:sz w:val="22"/>
              </w:rPr>
              <w:t xml:space="preserve"> på </w:t>
            </w:r>
            <w:hyperlink r:id="rId8" w:anchor="reference/lov/2005-05-20-28/§156" w:history="1">
              <w:r>
                <w:rPr>
                  <w:sz w:val="22"/>
                </w:rPr>
                <w:t>straffelova § 156</w:t>
              </w:r>
            </w:hyperlink>
            <w:r>
              <w:rPr>
                <w:sz w:val="22"/>
              </w:rPr>
              <w:t xml:space="preserve"> andre ledd, </w:t>
            </w:r>
            <w:hyperlink r:id="rId9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 og legemiddellova § 31 andre ledd, jf. § 24 fyrste ledd.</w:t>
            </w:r>
          </w:p>
        </w:tc>
      </w:tr>
    </w:tbl>
    <w:p w14:paraId="45E726A0" w14:textId="77777777" w:rsidR="00A4564E" w:rsidRDefault="00A4564E">
      <w:pPr>
        <w:rPr>
          <w:sz w:val="6"/>
        </w:rPr>
      </w:pPr>
    </w:p>
    <w:p w14:paraId="4FC1B31F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76EC243F" w14:textId="77777777">
        <w:tc>
          <w:tcPr>
            <w:tcW w:w="720" w:type="dxa"/>
            <w:noWrap/>
            <w:tcMar>
              <w:right w:w="80" w:type="dxa"/>
            </w:tcMar>
          </w:tcPr>
          <w:p w14:paraId="550194C9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38B5CBC5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Grunnlaget for </w:t>
            </w:r>
            <w:proofErr w:type="spellStart"/>
            <w:r>
              <w:rPr>
                <w:sz w:val="22"/>
              </w:rPr>
              <w:t>førelegg</w:t>
            </w:r>
            <w:r>
              <w:rPr>
                <w:sz w:val="22"/>
              </w:rPr>
              <w:t>et</w:t>
            </w:r>
            <w:proofErr w:type="spellEnd"/>
            <w:r>
              <w:rPr>
                <w:sz w:val="22"/>
              </w:rPr>
              <w:t xml:space="preserve"> post I knytt til </w:t>
            </w:r>
            <w:hyperlink r:id="rId10" w:anchor="reference/lov/2005-05-20-28/§156" w:history="1">
              <w:r>
                <w:rPr>
                  <w:sz w:val="22"/>
                </w:rPr>
                <w:t>straffelova § 156</w:t>
              </w:r>
            </w:hyperlink>
            <w:r>
              <w:rPr>
                <w:sz w:val="22"/>
              </w:rPr>
              <w:t xml:space="preserve"> andre ledd – for ved skjellsord eller anna </w:t>
            </w:r>
            <w:proofErr w:type="spellStart"/>
            <w:r>
              <w:rPr>
                <w:sz w:val="22"/>
              </w:rPr>
              <w:t>utilbørleg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åtferd</w:t>
            </w:r>
            <w:proofErr w:type="spellEnd"/>
            <w:r>
              <w:rPr>
                <w:sz w:val="22"/>
              </w:rPr>
              <w:t xml:space="preserve"> å ha plaga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offentleg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tenestemann</w:t>
            </w:r>
            <w:proofErr w:type="spellEnd"/>
            <w:r>
              <w:rPr>
                <w:sz w:val="22"/>
              </w:rPr>
              <w:t xml:space="preserve"> under eller på grunn av utføringa av </w:t>
            </w:r>
            <w:proofErr w:type="spellStart"/>
            <w:r>
              <w:rPr>
                <w:sz w:val="22"/>
              </w:rPr>
              <w:t>ten</w:t>
            </w:r>
            <w:r>
              <w:rPr>
                <w:sz w:val="22"/>
              </w:rPr>
              <w:t>esta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byrja</w:t>
            </w:r>
            <w:proofErr w:type="spellEnd"/>
            <w:r>
              <w:rPr>
                <w:sz w:val="22"/>
              </w:rPr>
              <w:t xml:space="preserve"> slik i </w:t>
            </w:r>
            <w:proofErr w:type="spellStart"/>
            <w:r>
              <w:rPr>
                <w:sz w:val="22"/>
              </w:rPr>
              <w:t>førelegget</w:t>
            </w:r>
            <w:proofErr w:type="spellEnd"/>
            <w:r>
              <w:rPr>
                <w:sz w:val="22"/>
              </w:rPr>
              <w:t>:</w:t>
            </w:r>
          </w:p>
          <w:p w14:paraId="31571BDC" w14:textId="77777777" w:rsidR="00A4564E" w:rsidRDefault="00B9717A">
            <w:pPr>
              <w:spacing w:before="120"/>
              <w:ind w:left="720"/>
              <w:rPr>
                <w:sz w:val="6"/>
              </w:rPr>
            </w:pPr>
            <w:r>
              <w:rPr>
                <w:sz w:val="22"/>
              </w:rPr>
              <w:t>«I tiden 25. april 2017 til høsten 2017 i [Sted1] administrerte hun på sosiale medier den åpne facebook-gruppen 'B skal hjem'.</w:t>
            </w:r>
          </w:p>
          <w:p w14:paraId="75D491D9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På </w:t>
            </w:r>
            <w:proofErr w:type="spellStart"/>
            <w:r>
              <w:rPr>
                <w:sz w:val="22"/>
              </w:rPr>
              <w:t>facebookgruppens</w:t>
            </w:r>
            <w:proofErr w:type="spellEnd"/>
            <w:r>
              <w:rPr>
                <w:sz w:val="22"/>
              </w:rPr>
              <w:t xml:space="preserve"> side offentliggjorde hun på utilbørlig vis flere ytringer av krenkende og sji</w:t>
            </w:r>
            <w:r>
              <w:rPr>
                <w:sz w:val="22"/>
              </w:rPr>
              <w:t>kanøs karakter og hvor ansatte i barnevernstjenesten i [Sted1] var målgruppen. Blant annet fremkommer det ...».</w:t>
            </w:r>
          </w:p>
        </w:tc>
      </w:tr>
    </w:tbl>
    <w:p w14:paraId="5C376CD0" w14:textId="77777777" w:rsidR="00A4564E" w:rsidRDefault="00A4564E">
      <w:pPr>
        <w:rPr>
          <w:sz w:val="6"/>
        </w:rPr>
      </w:pPr>
    </w:p>
    <w:p w14:paraId="55563F01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345538FB" w14:textId="77777777">
        <w:tc>
          <w:tcPr>
            <w:tcW w:w="720" w:type="dxa"/>
            <w:noWrap/>
            <w:tcMar>
              <w:right w:w="80" w:type="dxa"/>
            </w:tcMar>
          </w:tcPr>
          <w:p w14:paraId="68BBE23A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AE2B53F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Grunnlaget for </w:t>
            </w:r>
            <w:proofErr w:type="spellStart"/>
            <w:r>
              <w:rPr>
                <w:sz w:val="22"/>
              </w:rPr>
              <w:t>førelegget</w:t>
            </w:r>
            <w:proofErr w:type="spellEnd"/>
            <w:r>
              <w:rPr>
                <w:sz w:val="22"/>
              </w:rPr>
              <w:t xml:space="preserve"> post II knytt til </w:t>
            </w:r>
            <w:hyperlink r:id="rId11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 – for gjennom </w:t>
            </w:r>
            <w:proofErr w:type="spellStart"/>
            <w:r>
              <w:rPr>
                <w:sz w:val="22"/>
              </w:rPr>
              <w:t>offentleg</w:t>
            </w:r>
            <w:proofErr w:type="spellEnd"/>
            <w:r>
              <w:rPr>
                <w:sz w:val="22"/>
              </w:rPr>
              <w:t xml:space="preserve"> melding å ha krenkt privatlivets fred – er skildra slik i </w:t>
            </w:r>
            <w:proofErr w:type="spellStart"/>
            <w:r>
              <w:rPr>
                <w:sz w:val="22"/>
              </w:rPr>
              <w:t>førelegget</w:t>
            </w:r>
            <w:proofErr w:type="spellEnd"/>
            <w:r>
              <w:rPr>
                <w:sz w:val="22"/>
              </w:rPr>
              <w:t>:</w:t>
            </w:r>
          </w:p>
          <w:p w14:paraId="364FF420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«Til tid og sted, og ved liknende fremgangsmåte som nevnt under po</w:t>
            </w:r>
            <w:r>
              <w:rPr>
                <w:sz w:val="22"/>
              </w:rPr>
              <w:t>st I, offentliggjorde hun bilder og videoer av sin datter, B, født 0.0.2009, i særlig sårbare situasjoner, herunder blant annet hvor barnet vises gråtende, og hvor hun offentliggjør omstendigheter rundt gjennomføringen av vedtak om omsorgsovertakelse.»</w:t>
            </w:r>
          </w:p>
        </w:tc>
      </w:tr>
    </w:tbl>
    <w:p w14:paraId="4477C85B" w14:textId="77777777" w:rsidR="00A4564E" w:rsidRDefault="00A4564E">
      <w:pPr>
        <w:rPr>
          <w:sz w:val="6"/>
        </w:rPr>
      </w:pPr>
    </w:p>
    <w:p w14:paraId="424E165D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74"/>
      </w:tblGrid>
      <w:tr w:rsidR="00A4564E" w14:paraId="6B38BB0A" w14:textId="77777777">
        <w:tc>
          <w:tcPr>
            <w:tcW w:w="720" w:type="dxa"/>
            <w:noWrap/>
            <w:tcMar>
              <w:right w:w="80" w:type="dxa"/>
            </w:tcMar>
          </w:tcPr>
          <w:p w14:paraId="48BCB651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AAB14AD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A vedtok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førelegget</w:t>
            </w:r>
            <w:proofErr w:type="spellEnd"/>
            <w:r>
              <w:rPr>
                <w:sz w:val="22"/>
              </w:rPr>
              <w:t>. Nord-Troms tingrett sa dom 9. november 2018 [</w:t>
            </w:r>
            <w:hyperlink r:id="rId12" w:anchor="reference/avgjorelse/tnher-2018-118766" w:history="1">
              <w:r>
                <w:rPr>
                  <w:sz w:val="22"/>
                </w:rPr>
                <w:t>TNHER-2018-118766</w:t>
              </w:r>
            </w:hyperlink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med slik domsslutning: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3FA25216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6044DCC1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«1.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4CD5C2E3" w14:textId="77777777" w:rsidR="00A4564E" w:rsidRDefault="00B9717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A, f. 0.0.1969 dømmes for overtredelse av </w:t>
                  </w:r>
                  <w:hyperlink r:id="rId13" w:anchor="reference/lov/2005-05-20-28/§156" w:history="1">
                    <w:r>
                      <w:rPr>
                        <w:sz w:val="22"/>
                      </w:rPr>
                      <w:t>straffeloven (2005) § 156</w:t>
                    </w:r>
                  </w:hyperlink>
                  <w:r>
                    <w:rPr>
                      <w:sz w:val="22"/>
                    </w:rPr>
                    <w:t xml:space="preserve"> annet ledd, </w:t>
                  </w:r>
                  <w:hyperlink r:id="rId14" w:anchor="reference/lov/2005-05-20-28/§267" w:history="1">
                    <w:r>
                      <w:rPr>
                        <w:sz w:val="22"/>
                      </w:rPr>
                      <w:t>straffeloven (2005) § 267</w:t>
                    </w:r>
                  </w:hyperlink>
                  <w:r>
                    <w:rPr>
                      <w:sz w:val="22"/>
                    </w:rPr>
                    <w:t xml:space="preserve"> og legemiddelloven § 31 annet ledd, j</w:t>
                  </w:r>
                  <w:r>
                    <w:rPr>
                      <w:sz w:val="22"/>
                    </w:rPr>
                    <w:t>f. § 24 første ledd (2 tilfeller) til å betale en bot stor 12000 – tolvtusenkroner – subsidiært 24 – tjuefire – dager fengsel.</w:t>
                  </w:r>
                </w:p>
              </w:tc>
            </w:tr>
          </w:tbl>
          <w:p w14:paraId="5133E4BE" w14:textId="77777777" w:rsidR="00A4564E" w:rsidRDefault="00A4564E">
            <w:pPr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3FFFF4C0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4EDB2331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2.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47E1E44B" w14:textId="77777777" w:rsidR="00A4564E" w:rsidRDefault="00B9717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Saksomkostninger idømmes ikke.»</w:t>
                  </w:r>
                </w:p>
              </w:tc>
            </w:tr>
          </w:tbl>
          <w:p w14:paraId="595D4BFB" w14:textId="77777777" w:rsidR="00A4564E" w:rsidRDefault="00A4564E">
            <w:pPr>
              <w:rPr>
                <w:sz w:val="22"/>
              </w:rPr>
            </w:pPr>
          </w:p>
        </w:tc>
      </w:tr>
    </w:tbl>
    <w:p w14:paraId="7A6C6D2F" w14:textId="77777777" w:rsidR="00A4564E" w:rsidRDefault="00A4564E">
      <w:pPr>
        <w:rPr>
          <w:sz w:val="6"/>
        </w:rPr>
      </w:pPr>
    </w:p>
    <w:p w14:paraId="2CA59C56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8F31D62" w14:textId="77777777">
        <w:tc>
          <w:tcPr>
            <w:tcW w:w="720" w:type="dxa"/>
            <w:noWrap/>
            <w:tcMar>
              <w:right w:w="80" w:type="dxa"/>
            </w:tcMar>
          </w:tcPr>
          <w:p w14:paraId="686B573F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(8)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8FEFB14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 xml:space="preserve"> anka dommen til lagmannsretten. Anken gjaldt </w:t>
            </w:r>
            <w:proofErr w:type="spellStart"/>
            <w:r>
              <w:rPr>
                <w:sz w:val="22"/>
              </w:rPr>
              <w:t>lovbruken</w:t>
            </w:r>
            <w:proofErr w:type="spellEnd"/>
            <w:r>
              <w:rPr>
                <w:sz w:val="22"/>
              </w:rPr>
              <w:t xml:space="preserve"> under </w:t>
            </w:r>
            <w:proofErr w:type="spellStart"/>
            <w:r>
              <w:rPr>
                <w:sz w:val="22"/>
              </w:rPr>
              <w:t>skuldspørsmålet</w:t>
            </w:r>
            <w:proofErr w:type="spellEnd"/>
            <w:r>
              <w:rPr>
                <w:sz w:val="22"/>
              </w:rPr>
              <w:t xml:space="preserve"> for post I og II og straffutmålinga. Hålogaland lagmannsrett samtykte til ankehandsaming over </w:t>
            </w:r>
            <w:proofErr w:type="spellStart"/>
            <w:r>
              <w:rPr>
                <w:sz w:val="22"/>
              </w:rPr>
              <w:t>lovbruken</w:t>
            </w:r>
            <w:proofErr w:type="spellEnd"/>
            <w:r>
              <w:rPr>
                <w:sz w:val="22"/>
              </w:rPr>
              <w:t xml:space="preserve"> under </w:t>
            </w:r>
            <w:proofErr w:type="spellStart"/>
            <w:r>
              <w:rPr>
                <w:sz w:val="22"/>
              </w:rPr>
              <w:t>skuldspørsmålet</w:t>
            </w:r>
            <w:proofErr w:type="spellEnd"/>
            <w:r>
              <w:rPr>
                <w:sz w:val="22"/>
              </w:rPr>
              <w:t xml:space="preserve"> knytt til post II. Anken vart forkasta i Hålogaland </w:t>
            </w:r>
            <w:r>
              <w:rPr>
                <w:sz w:val="22"/>
              </w:rPr>
              <w:t>lagmannsretts dom 2. april 2019 [</w:t>
            </w:r>
            <w:hyperlink r:id="rId15" w:anchor="reference/avgjorelse/lh-2019-1192" w:history="1">
              <w:r>
                <w:rPr>
                  <w:sz w:val="22"/>
                </w:rPr>
                <w:t>LH-2019-1192</w:t>
              </w:r>
            </w:hyperlink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.</w:t>
            </w:r>
          </w:p>
        </w:tc>
      </w:tr>
    </w:tbl>
    <w:p w14:paraId="51BB20D3" w14:textId="77777777" w:rsidR="00A4564E" w:rsidRDefault="00A4564E">
      <w:pPr>
        <w:rPr>
          <w:sz w:val="6"/>
        </w:rPr>
      </w:pPr>
    </w:p>
    <w:p w14:paraId="12E731E5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35BB5ACD" w14:textId="77777777">
        <w:tc>
          <w:tcPr>
            <w:tcW w:w="720" w:type="dxa"/>
            <w:noWrap/>
            <w:tcMar>
              <w:right w:w="80" w:type="dxa"/>
            </w:tcMar>
          </w:tcPr>
          <w:p w14:paraId="4A71DF9A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(9)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D9C06BE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A har anka dommen til Høgsterett. Anken gjeld </w:t>
            </w:r>
            <w:proofErr w:type="spellStart"/>
            <w:r>
              <w:rPr>
                <w:sz w:val="22"/>
              </w:rPr>
              <w:t>lovbruken</w:t>
            </w:r>
            <w:proofErr w:type="spellEnd"/>
            <w:r>
              <w:rPr>
                <w:sz w:val="22"/>
              </w:rPr>
              <w:t xml:space="preserve"> under </w:t>
            </w:r>
            <w:proofErr w:type="spellStart"/>
            <w:r>
              <w:rPr>
                <w:sz w:val="22"/>
              </w:rPr>
              <w:t>skuldspørsmålet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6F9731A7" w14:textId="77777777" w:rsidR="00A4564E" w:rsidRDefault="00A4564E">
      <w:pPr>
        <w:rPr>
          <w:sz w:val="6"/>
        </w:rPr>
      </w:pPr>
    </w:p>
    <w:p w14:paraId="1658C2F0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45243305" w14:textId="77777777">
        <w:tc>
          <w:tcPr>
            <w:tcW w:w="720" w:type="dxa"/>
            <w:noWrap/>
            <w:tcMar>
              <w:right w:w="80" w:type="dxa"/>
            </w:tcMar>
          </w:tcPr>
          <w:p w14:paraId="663B40FC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(10)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A38EE8C" w14:textId="77777777" w:rsidR="00A4564E" w:rsidRDefault="00B9717A">
            <w:pPr>
              <w:rPr>
                <w:sz w:val="22"/>
              </w:rPr>
            </w:pPr>
            <w:r>
              <w:rPr>
                <w:b/>
                <w:sz w:val="22"/>
              </w:rPr>
              <w:t>Mitt syn på saka</w:t>
            </w:r>
          </w:p>
        </w:tc>
      </w:tr>
    </w:tbl>
    <w:p w14:paraId="18C62F92" w14:textId="77777777" w:rsidR="00A4564E" w:rsidRDefault="00A4564E">
      <w:pPr>
        <w:rPr>
          <w:sz w:val="6"/>
        </w:rPr>
      </w:pPr>
    </w:p>
    <w:p w14:paraId="061BA4F9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E7472DC" w14:textId="77777777">
        <w:tc>
          <w:tcPr>
            <w:tcW w:w="720" w:type="dxa"/>
            <w:noWrap/>
            <w:tcMar>
              <w:right w:w="80" w:type="dxa"/>
            </w:tcMar>
          </w:tcPr>
          <w:p w14:paraId="6D948905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(11)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659773B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>Spørsmå</w:t>
            </w:r>
            <w:r>
              <w:rPr>
                <w:sz w:val="22"/>
              </w:rPr>
              <w:t xml:space="preserve">let er om publisering av </w:t>
            </w:r>
            <w:proofErr w:type="spellStart"/>
            <w:r>
              <w:rPr>
                <w:sz w:val="22"/>
              </w:rPr>
              <w:t>bilete</w:t>
            </w:r>
            <w:proofErr w:type="spellEnd"/>
            <w:r>
              <w:rPr>
                <w:sz w:val="22"/>
              </w:rPr>
              <w:t xml:space="preserve"> og </w:t>
            </w:r>
            <w:proofErr w:type="spellStart"/>
            <w:r>
              <w:rPr>
                <w:sz w:val="22"/>
              </w:rPr>
              <w:t>opplysningar</w:t>
            </w:r>
            <w:proofErr w:type="spellEnd"/>
            <w:r>
              <w:rPr>
                <w:sz w:val="22"/>
              </w:rPr>
              <w:t xml:space="preserve"> om dottera til den </w:t>
            </w:r>
            <w:proofErr w:type="spellStart"/>
            <w:r>
              <w:rPr>
                <w:sz w:val="22"/>
              </w:rPr>
              <w:t>tiltala</w:t>
            </w:r>
            <w:proofErr w:type="spellEnd"/>
            <w:r>
              <w:rPr>
                <w:sz w:val="22"/>
              </w:rPr>
              <w:t xml:space="preserve"> på sosiale medium </w:t>
            </w:r>
            <w:proofErr w:type="spellStart"/>
            <w:r>
              <w:rPr>
                <w:sz w:val="22"/>
              </w:rPr>
              <w:t>krenkjer</w:t>
            </w:r>
            <w:proofErr w:type="spellEnd"/>
            <w:r>
              <w:rPr>
                <w:sz w:val="22"/>
              </w:rPr>
              <w:t xml:space="preserve"> privatlivets fred. </w:t>
            </w:r>
            <w:hyperlink r:id="rId16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 fyrste ledd har slik ordlyd.</w:t>
            </w:r>
          </w:p>
          <w:p w14:paraId="613FFA5C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«Den </w:t>
            </w:r>
            <w:r>
              <w:rPr>
                <w:sz w:val="22"/>
              </w:rPr>
              <w:t>som gjennom offentlig meddelelse krenker privatlivets fred, straffes med bot eller fengsel inntil 1 år.»</w:t>
            </w:r>
          </w:p>
        </w:tc>
      </w:tr>
    </w:tbl>
    <w:p w14:paraId="04676127" w14:textId="77777777" w:rsidR="00A4564E" w:rsidRDefault="00A4564E">
      <w:pPr>
        <w:rPr>
          <w:sz w:val="6"/>
        </w:rPr>
      </w:pPr>
    </w:p>
    <w:p w14:paraId="0D06D922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55A3FB6E" w14:textId="77777777">
        <w:tc>
          <w:tcPr>
            <w:tcW w:w="720" w:type="dxa"/>
            <w:noWrap/>
            <w:tcMar>
              <w:right w:w="80" w:type="dxa"/>
            </w:tcMar>
          </w:tcPr>
          <w:p w14:paraId="5AC49729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(12)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2E7E75F" w14:textId="77777777" w:rsidR="00A4564E" w:rsidRDefault="00B9717A">
            <w:pPr>
              <w:rPr>
                <w:sz w:val="22"/>
              </w:rPr>
            </w:pPr>
            <w:hyperlink r:id="rId17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 fyrste ledd </w:t>
            </w:r>
            <w:proofErr w:type="spellStart"/>
            <w:r>
              <w:rPr>
                <w:sz w:val="22"/>
              </w:rPr>
              <w:t>vidarefører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forbodet</w:t>
            </w:r>
            <w:proofErr w:type="spellEnd"/>
            <w:r>
              <w:rPr>
                <w:sz w:val="22"/>
              </w:rPr>
              <w:t xml:space="preserve"> i straffelova 1902 </w:t>
            </w:r>
            <w:hyperlink r:id="rId18" w:anchor="reference/lov/1902-05-22-10/§390" w:history="1">
              <w:r>
                <w:rPr>
                  <w:sz w:val="22"/>
                </w:rPr>
                <w:t>§ 390</w:t>
              </w:r>
            </w:hyperlink>
            <w:r>
              <w:rPr>
                <w:sz w:val="22"/>
              </w:rPr>
              <w:t xml:space="preserve"> om krenking av privatl</w:t>
            </w:r>
            <w:r>
              <w:rPr>
                <w:sz w:val="22"/>
              </w:rPr>
              <w:t xml:space="preserve">ivets fred. Den </w:t>
            </w:r>
            <w:proofErr w:type="spellStart"/>
            <w:r>
              <w:rPr>
                <w:sz w:val="22"/>
              </w:rPr>
              <w:t>tidlegare</w:t>
            </w:r>
            <w:proofErr w:type="spellEnd"/>
            <w:r>
              <w:rPr>
                <w:sz w:val="22"/>
              </w:rPr>
              <w:t xml:space="preserve"> presiseringa om at meldinga måtte gjelde «personlige eller huslige forhold», er sløyfa som overflødig, </w:t>
            </w:r>
            <w:proofErr w:type="spellStart"/>
            <w:r>
              <w:rPr>
                <w:sz w:val="22"/>
              </w:rPr>
              <w:t>utan</w:t>
            </w:r>
            <w:proofErr w:type="spellEnd"/>
            <w:r>
              <w:rPr>
                <w:sz w:val="22"/>
              </w:rPr>
              <w:t xml:space="preserve"> at dette </w:t>
            </w:r>
            <w:proofErr w:type="spellStart"/>
            <w:r>
              <w:rPr>
                <w:sz w:val="22"/>
              </w:rPr>
              <w:t>inneber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noka</w:t>
            </w:r>
            <w:proofErr w:type="spellEnd"/>
            <w:r>
              <w:rPr>
                <w:sz w:val="22"/>
              </w:rPr>
              <w:t xml:space="preserve"> realitetsendring, jf. </w:t>
            </w:r>
            <w:hyperlink r:id="rId19" w:anchor="reference/forarbeid/otprp-22-200809/s425" w:history="1">
              <w:r>
                <w:rPr>
                  <w:sz w:val="22"/>
                </w:rPr>
                <w:t>Ot.prp.nr.22 (2008–2009) side 425</w:t>
              </w:r>
            </w:hyperlink>
            <w:r>
              <w:rPr>
                <w:sz w:val="22"/>
              </w:rPr>
              <w:t xml:space="preserve">. Praksis etter straffelova 1902 </w:t>
            </w:r>
            <w:hyperlink r:id="rId20" w:anchor="reference/lov/1902-05-22-10/§390" w:history="1">
              <w:r>
                <w:rPr>
                  <w:sz w:val="22"/>
                </w:rPr>
                <w:t>§ 390</w:t>
              </w:r>
            </w:hyperlink>
            <w:r>
              <w:rPr>
                <w:sz w:val="22"/>
              </w:rPr>
              <w:t xml:space="preserve"> er </w:t>
            </w:r>
            <w:proofErr w:type="spellStart"/>
            <w:r>
              <w:rPr>
                <w:sz w:val="22"/>
              </w:rPr>
              <w:t>framleis</w:t>
            </w:r>
            <w:proofErr w:type="spellEnd"/>
            <w:r>
              <w:rPr>
                <w:sz w:val="22"/>
              </w:rPr>
              <w:t xml:space="preserve"> relevant.</w:t>
            </w:r>
          </w:p>
        </w:tc>
      </w:tr>
    </w:tbl>
    <w:p w14:paraId="0EF19596" w14:textId="77777777" w:rsidR="00A4564E" w:rsidRDefault="00A4564E">
      <w:pPr>
        <w:rPr>
          <w:sz w:val="6"/>
        </w:rPr>
      </w:pPr>
    </w:p>
    <w:p w14:paraId="6504612C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04CCA7B8" w14:textId="77777777">
        <w:tc>
          <w:tcPr>
            <w:tcW w:w="720" w:type="dxa"/>
            <w:noWrap/>
            <w:tcMar>
              <w:right w:w="80" w:type="dxa"/>
            </w:tcMar>
          </w:tcPr>
          <w:p w14:paraId="7410D256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(13)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4622906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Det er på det reine at vilkåret «offentlig meddelelse» er oppfyl</w:t>
            </w:r>
            <w:r>
              <w:rPr>
                <w:sz w:val="22"/>
              </w:rPr>
              <w:t xml:space="preserve">t ved at materialet, som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kjem </w:t>
            </w:r>
            <w:proofErr w:type="spellStart"/>
            <w:r>
              <w:rPr>
                <w:sz w:val="22"/>
              </w:rPr>
              <w:t>nærare</w:t>
            </w:r>
            <w:proofErr w:type="spellEnd"/>
            <w:r>
              <w:rPr>
                <w:sz w:val="22"/>
              </w:rPr>
              <w:t xml:space="preserve"> attende til, </w:t>
            </w:r>
            <w:proofErr w:type="spellStart"/>
            <w:r>
              <w:rPr>
                <w:sz w:val="22"/>
              </w:rPr>
              <w:t>vart</w:t>
            </w:r>
            <w:proofErr w:type="spellEnd"/>
            <w:r>
              <w:rPr>
                <w:sz w:val="22"/>
              </w:rPr>
              <w:t xml:space="preserve"> lagt ut på ei </w:t>
            </w:r>
            <w:proofErr w:type="spellStart"/>
            <w:r>
              <w:rPr>
                <w:sz w:val="22"/>
              </w:rPr>
              <w:t>open</w:t>
            </w:r>
            <w:proofErr w:type="spellEnd"/>
            <w:r>
              <w:rPr>
                <w:sz w:val="22"/>
              </w:rPr>
              <w:t xml:space="preserve"> Facebook-side, jf. </w:t>
            </w:r>
            <w:hyperlink r:id="rId21" w:anchor="reference/lov/2005-05-20-28/§10" w:history="1">
              <w:r>
                <w:rPr>
                  <w:sz w:val="22"/>
                </w:rPr>
                <w:t>straffelova § 10</w:t>
              </w:r>
            </w:hyperlink>
            <w:r>
              <w:rPr>
                <w:sz w:val="22"/>
              </w:rPr>
              <w:t xml:space="preserve"> andre ledd andre punktum.</w:t>
            </w:r>
          </w:p>
        </w:tc>
      </w:tr>
    </w:tbl>
    <w:p w14:paraId="3A4AFDD5" w14:textId="77777777" w:rsidR="00A4564E" w:rsidRDefault="00A4564E">
      <w:pPr>
        <w:rPr>
          <w:sz w:val="6"/>
        </w:rPr>
      </w:pPr>
    </w:p>
    <w:p w14:paraId="69F8B2DC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70673B71" w14:textId="77777777">
        <w:tc>
          <w:tcPr>
            <w:tcW w:w="720" w:type="dxa"/>
            <w:noWrap/>
            <w:tcMar>
              <w:right w:w="80" w:type="dxa"/>
            </w:tcMar>
          </w:tcPr>
          <w:p w14:paraId="04F2A400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(14)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6B8A5410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>For spørsmålet om kva slags ma</w:t>
            </w:r>
            <w:r>
              <w:rPr>
                <w:sz w:val="22"/>
              </w:rPr>
              <w:t xml:space="preserve">teriale eller </w:t>
            </w:r>
            <w:proofErr w:type="spellStart"/>
            <w:r>
              <w:rPr>
                <w:sz w:val="22"/>
              </w:rPr>
              <w:t>opplysningar</w:t>
            </w:r>
            <w:proofErr w:type="spellEnd"/>
            <w:r>
              <w:rPr>
                <w:sz w:val="22"/>
              </w:rPr>
              <w:t xml:space="preserve"> som er omfatta av «privatlivets fred», </w:t>
            </w:r>
            <w:proofErr w:type="spellStart"/>
            <w:r>
              <w:rPr>
                <w:sz w:val="22"/>
              </w:rPr>
              <w:t>tek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utgangspunkt i </w:t>
            </w:r>
            <w:hyperlink r:id="rId22" w:anchor="reference/avgjorelse/rt-2010-258/a50" w:history="1">
              <w:r>
                <w:rPr>
                  <w:sz w:val="22"/>
                </w:rPr>
                <w:t>Rt-2010-258 avsnitt 50:</w:t>
              </w:r>
            </w:hyperlink>
          </w:p>
          <w:p w14:paraId="34C7CF44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«Etter Big Brother-dommen [</w:t>
            </w:r>
            <w:hyperlink r:id="rId23" w:anchor="reference/avgjorelse/rt-2007-687/a59" w:history="1">
              <w:r>
                <w:rPr>
                  <w:sz w:val="22"/>
                </w:rPr>
                <w:t>Rt-2007-687] avsnitt 59</w:t>
              </w:r>
            </w:hyperlink>
            <w:r>
              <w:rPr>
                <w:sz w:val="22"/>
              </w:rPr>
              <w:t xml:space="preserve"> beror dette på om det er tale om '</w:t>
            </w:r>
            <w:proofErr w:type="spellStart"/>
            <w:r>
              <w:rPr>
                <w:sz w:val="22"/>
              </w:rPr>
              <w:t>personlege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opplysningar</w:t>
            </w:r>
            <w:proofErr w:type="spellEnd"/>
            <w:r>
              <w:rPr>
                <w:sz w:val="22"/>
              </w:rPr>
              <w:t xml:space="preserve"> som objektivt sett har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viss grad av sensitivitet'. Kravet til sensitivitet danner en nedre terskel for hvilke opplysnin</w:t>
            </w:r>
            <w:r>
              <w:rPr>
                <w:sz w:val="22"/>
              </w:rPr>
              <w:t>ger som overhodet kan falle inn under begrepet. Opplysninger om for eksempel yrke og sivilstand vil ikke være omfattet. Det kan imidlertid ikke kreves så mye før sensitivitetskravet er oppfylt.»</w:t>
            </w:r>
          </w:p>
        </w:tc>
      </w:tr>
    </w:tbl>
    <w:p w14:paraId="436052CA" w14:textId="77777777" w:rsidR="00A4564E" w:rsidRDefault="00A4564E">
      <w:pPr>
        <w:rPr>
          <w:sz w:val="6"/>
        </w:rPr>
      </w:pPr>
    </w:p>
    <w:p w14:paraId="6154E938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790551B6" w14:textId="77777777">
        <w:tc>
          <w:tcPr>
            <w:tcW w:w="720" w:type="dxa"/>
            <w:noWrap/>
            <w:tcMar>
              <w:right w:w="80" w:type="dxa"/>
            </w:tcMar>
          </w:tcPr>
          <w:p w14:paraId="11840162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(15)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1035BFA2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Det </w:t>
            </w:r>
            <w:proofErr w:type="spellStart"/>
            <w:r>
              <w:rPr>
                <w:sz w:val="22"/>
              </w:rPr>
              <w:t>krevst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viss grad av sensitivitet». </w:t>
            </w:r>
            <w:proofErr w:type="spellStart"/>
            <w:r>
              <w:rPr>
                <w:sz w:val="22"/>
              </w:rPr>
              <w:t>Meldingane</w:t>
            </w:r>
            <w:proofErr w:type="spellEnd"/>
            <w:r>
              <w:rPr>
                <w:sz w:val="22"/>
              </w:rPr>
              <w:t xml:space="preserve"> i saka her </w:t>
            </w:r>
            <w:proofErr w:type="spellStart"/>
            <w:r>
              <w:rPr>
                <w:sz w:val="22"/>
              </w:rPr>
              <w:t>inneheldt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bilete</w:t>
            </w:r>
            <w:proofErr w:type="spellEnd"/>
            <w:r>
              <w:rPr>
                <w:sz w:val="22"/>
              </w:rPr>
              <w:t xml:space="preserve"> og </w:t>
            </w:r>
            <w:proofErr w:type="spellStart"/>
            <w:r>
              <w:rPr>
                <w:sz w:val="22"/>
              </w:rPr>
              <w:t>videoklypp</w:t>
            </w:r>
            <w:proofErr w:type="spellEnd"/>
            <w:r>
              <w:rPr>
                <w:sz w:val="22"/>
              </w:rPr>
              <w:t xml:space="preserve"> som viser B i sårbare </w:t>
            </w:r>
            <w:proofErr w:type="spellStart"/>
            <w:r>
              <w:rPr>
                <w:sz w:val="22"/>
              </w:rPr>
              <w:t>situasjonar</w:t>
            </w:r>
            <w:proofErr w:type="spellEnd"/>
            <w:r>
              <w:rPr>
                <w:sz w:val="22"/>
              </w:rPr>
              <w:t xml:space="preserve">, brev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barnevernstenesta med informasjon om saka og referat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samtaler mellom mor og dotter med utgangspunkt i barnevern</w:t>
            </w:r>
            <w:r>
              <w:rPr>
                <w:sz w:val="22"/>
              </w:rPr>
              <w:t xml:space="preserve">ssaka, der B gjev uttrykk for sterke kjensler. Tingretten </w:t>
            </w:r>
            <w:proofErr w:type="spellStart"/>
            <w:r>
              <w:rPr>
                <w:sz w:val="22"/>
              </w:rPr>
              <w:t>fann</w:t>
            </w:r>
            <w:proofErr w:type="spellEnd"/>
            <w:r>
              <w:rPr>
                <w:sz w:val="22"/>
              </w:rPr>
              <w:t xml:space="preserve"> det prova at det var publisert </w:t>
            </w:r>
            <w:proofErr w:type="spellStart"/>
            <w:r>
              <w:rPr>
                <w:sz w:val="22"/>
              </w:rPr>
              <w:t>eitt</w:t>
            </w:r>
            <w:proofErr w:type="spellEnd"/>
            <w:r>
              <w:rPr>
                <w:sz w:val="22"/>
              </w:rPr>
              <w:t xml:space="preserve"> eller to </w:t>
            </w:r>
            <w:proofErr w:type="spellStart"/>
            <w:r>
              <w:rPr>
                <w:sz w:val="22"/>
              </w:rPr>
              <w:t>videoklypp</w:t>
            </w:r>
            <w:proofErr w:type="spellEnd"/>
            <w:r>
              <w:rPr>
                <w:sz w:val="22"/>
              </w:rPr>
              <w:t xml:space="preserve"> med slikt </w:t>
            </w:r>
            <w:proofErr w:type="spellStart"/>
            <w:r>
              <w:rPr>
                <w:sz w:val="22"/>
              </w:rPr>
              <w:t>innhald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bilete</w:t>
            </w:r>
            <w:proofErr w:type="spellEnd"/>
            <w:r>
              <w:rPr>
                <w:sz w:val="22"/>
              </w:rPr>
              <w:t xml:space="preserve"> av B der ho </w:t>
            </w:r>
            <w:proofErr w:type="spellStart"/>
            <w:r>
              <w:rPr>
                <w:sz w:val="22"/>
              </w:rPr>
              <w:t>gret</w:t>
            </w:r>
            <w:proofErr w:type="spellEnd"/>
            <w:r>
              <w:rPr>
                <w:sz w:val="22"/>
              </w:rPr>
              <w:t xml:space="preserve"> og mors attgjeving av ei samtale mellom henne og B. Sitatet tek til slik: «Mamma det er ikke r</w:t>
            </w:r>
            <w:r>
              <w:rPr>
                <w:sz w:val="22"/>
              </w:rPr>
              <w:t xml:space="preserve">ett at du skal dra og jeg må bli igjen ...». </w:t>
            </w:r>
            <w:proofErr w:type="spellStart"/>
            <w:r>
              <w:rPr>
                <w:sz w:val="22"/>
              </w:rPr>
              <w:t>Endeleg</w:t>
            </w:r>
            <w:proofErr w:type="spellEnd"/>
            <w:r>
              <w:rPr>
                <w:sz w:val="22"/>
              </w:rPr>
              <w:t xml:space="preserve"> var det publisert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brev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barnevernet der det er gjort </w:t>
            </w:r>
            <w:proofErr w:type="spellStart"/>
            <w:r>
              <w:rPr>
                <w:sz w:val="22"/>
              </w:rPr>
              <w:t>vurderingar</w:t>
            </w:r>
            <w:proofErr w:type="spellEnd"/>
            <w:r>
              <w:rPr>
                <w:sz w:val="22"/>
              </w:rPr>
              <w:t xml:space="preserve"> av B.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meiner at denne informasjonen, som den </w:t>
            </w:r>
            <w:proofErr w:type="spellStart"/>
            <w:r>
              <w:rPr>
                <w:sz w:val="22"/>
              </w:rPr>
              <w:t>tiltala</w:t>
            </w:r>
            <w:proofErr w:type="spellEnd"/>
            <w:r>
              <w:rPr>
                <w:sz w:val="22"/>
              </w:rPr>
              <w:t xml:space="preserve"> la ut på Facebook-sida, var svært sensitiv og privat og klart var omfatta a</w:t>
            </w:r>
            <w:r>
              <w:rPr>
                <w:sz w:val="22"/>
              </w:rPr>
              <w:t>v omgrepet «privatlivets fred».</w:t>
            </w:r>
          </w:p>
        </w:tc>
      </w:tr>
    </w:tbl>
    <w:p w14:paraId="5C1CA53B" w14:textId="77777777" w:rsidR="00A4564E" w:rsidRDefault="00A4564E">
      <w:pPr>
        <w:rPr>
          <w:sz w:val="6"/>
        </w:rPr>
      </w:pPr>
    </w:p>
    <w:p w14:paraId="51FBBAD9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4856D979" w14:textId="77777777">
        <w:tc>
          <w:tcPr>
            <w:tcW w:w="720" w:type="dxa"/>
            <w:noWrap/>
            <w:tcMar>
              <w:right w:w="80" w:type="dxa"/>
            </w:tcMar>
          </w:tcPr>
          <w:p w14:paraId="413BFEAF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(16)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35A64FF9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Det neste spørsmålet er om publiseringa av dette materialet har krenkt </w:t>
            </w:r>
            <w:proofErr w:type="spellStart"/>
            <w:r>
              <w:rPr>
                <w:sz w:val="22"/>
              </w:rPr>
              <w:t>Bs</w:t>
            </w:r>
            <w:proofErr w:type="spellEnd"/>
            <w:r>
              <w:rPr>
                <w:sz w:val="22"/>
              </w:rPr>
              <w:t xml:space="preserve"> privatliv.</w:t>
            </w:r>
          </w:p>
        </w:tc>
      </w:tr>
    </w:tbl>
    <w:p w14:paraId="46E1E4E0" w14:textId="77777777" w:rsidR="00A4564E" w:rsidRDefault="00A4564E">
      <w:pPr>
        <w:rPr>
          <w:sz w:val="6"/>
        </w:rPr>
      </w:pPr>
    </w:p>
    <w:p w14:paraId="6316511F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53761CCA" w14:textId="77777777">
        <w:tc>
          <w:tcPr>
            <w:tcW w:w="720" w:type="dxa"/>
            <w:noWrap/>
            <w:tcMar>
              <w:right w:w="80" w:type="dxa"/>
            </w:tcMar>
          </w:tcPr>
          <w:p w14:paraId="6A32F3BE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(17)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3FBDA5ED" w14:textId="77777777" w:rsidR="00A4564E" w:rsidRDefault="00B9717A">
            <w:pPr>
              <w:rPr>
                <w:sz w:val="6"/>
              </w:rPr>
            </w:pPr>
            <w:proofErr w:type="spellStart"/>
            <w:r>
              <w:rPr>
                <w:sz w:val="22"/>
              </w:rPr>
              <w:t>Førearbeida</w:t>
            </w:r>
            <w:proofErr w:type="spellEnd"/>
            <w:r>
              <w:rPr>
                <w:sz w:val="22"/>
              </w:rPr>
              <w:t xml:space="preserve"> til </w:t>
            </w:r>
            <w:hyperlink r:id="rId24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, </w:t>
            </w:r>
            <w:hyperlink r:id="rId25" w:anchor="reference/forarbeid/otprp-22-200809/s425" w:history="1">
              <w:r>
                <w:rPr>
                  <w:sz w:val="22"/>
                </w:rPr>
                <w:t>Ot.prp.nr.22 (2008–2009) side 425</w:t>
              </w:r>
            </w:hyperlink>
            <w:r>
              <w:rPr>
                <w:sz w:val="22"/>
              </w:rPr>
              <w:t xml:space="preserve">, seier </w:t>
            </w:r>
            <w:proofErr w:type="spellStart"/>
            <w:r>
              <w:rPr>
                <w:sz w:val="22"/>
              </w:rPr>
              <w:t>fylgjande</w:t>
            </w:r>
            <w:proofErr w:type="spellEnd"/>
            <w:r>
              <w:rPr>
                <w:sz w:val="22"/>
              </w:rPr>
              <w:t xml:space="preserve"> om uttrykket «krenker»:</w:t>
            </w:r>
          </w:p>
          <w:p w14:paraId="69935022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«Uttrykket 'krenker' innebærer som etter gjeldende rett et krav om at meddelelsen må være rettsstridi</w:t>
            </w:r>
            <w:r>
              <w:rPr>
                <w:sz w:val="22"/>
              </w:rPr>
              <w:t xml:space="preserve">g, noe som først og fremst beror på om en straffsanksjonering ville innebære en krenkelse av </w:t>
            </w:r>
            <w:hyperlink r:id="rId26" w:anchor="reference/lov/1999-05-21-30/emkn/a10" w:history="1">
              <w:r>
                <w:rPr>
                  <w:sz w:val="22"/>
                </w:rPr>
                <w:t>EMK art. 10</w:t>
              </w:r>
            </w:hyperlink>
            <w:r>
              <w:rPr>
                <w:sz w:val="22"/>
              </w:rPr>
              <w:t xml:space="preserve"> eller </w:t>
            </w:r>
            <w:hyperlink r:id="rId27" w:anchor="reference/lov/1814-05-17/§100" w:history="1">
              <w:r>
                <w:rPr>
                  <w:sz w:val="22"/>
                </w:rPr>
                <w:t>Grunnloven § 100</w:t>
              </w:r>
            </w:hyperlink>
            <w:r>
              <w:rPr>
                <w:sz w:val="22"/>
              </w:rPr>
              <w:t xml:space="preserve">. Hensynet til ytringsfriheten må her veies opp mot den enkeltes rett til personvern, som er beskyttet av </w:t>
            </w:r>
            <w:hyperlink r:id="rId28" w:anchor="reference/lov/1999-05-21-30/emkn/a8" w:history="1">
              <w:r>
                <w:rPr>
                  <w:sz w:val="22"/>
                </w:rPr>
                <w:t>EMK art. 8</w:t>
              </w:r>
            </w:hyperlink>
            <w:r>
              <w:rPr>
                <w:sz w:val="22"/>
              </w:rPr>
              <w:t>. Rettspraksis knyttet ti</w:t>
            </w:r>
            <w:r>
              <w:rPr>
                <w:sz w:val="22"/>
              </w:rPr>
              <w:t xml:space="preserve">l </w:t>
            </w:r>
            <w:hyperlink r:id="rId29" w:anchor="reference/lov/1902-05-22-10/§390" w:history="1">
              <w:r>
                <w:rPr>
                  <w:sz w:val="22"/>
                </w:rPr>
                <w:t>§ 390</w:t>
              </w:r>
            </w:hyperlink>
            <w:r>
              <w:rPr>
                <w:sz w:val="22"/>
              </w:rPr>
              <w:t xml:space="preserve"> vil fortsatt være av betydning når denne avveiningen skal foretas. Rettsstridsvilkåret må praktiseres i tråd med eventuelle endringer i </w:t>
            </w:r>
            <w:proofErr w:type="spellStart"/>
            <w:r>
              <w:rPr>
                <w:sz w:val="22"/>
              </w:rPr>
              <w:t>EMDs</w:t>
            </w:r>
            <w:proofErr w:type="spellEnd"/>
            <w:r>
              <w:rPr>
                <w:sz w:val="22"/>
              </w:rPr>
              <w:t xml:space="preserve"> avveining av personvernet o</w:t>
            </w:r>
            <w:r>
              <w:rPr>
                <w:sz w:val="22"/>
              </w:rPr>
              <w:t>g ytringsfriheten.»</w:t>
            </w:r>
          </w:p>
        </w:tc>
      </w:tr>
    </w:tbl>
    <w:p w14:paraId="753B558F" w14:textId="77777777" w:rsidR="00A4564E" w:rsidRDefault="00A4564E">
      <w:pPr>
        <w:rPr>
          <w:sz w:val="6"/>
        </w:rPr>
      </w:pPr>
    </w:p>
    <w:p w14:paraId="004E4989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1F54CE8B" w14:textId="77777777">
        <w:tc>
          <w:tcPr>
            <w:tcW w:w="720" w:type="dxa"/>
            <w:noWrap/>
            <w:tcMar>
              <w:right w:w="80" w:type="dxa"/>
            </w:tcMar>
          </w:tcPr>
          <w:p w14:paraId="5667C68A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(18)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663877B2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Handlinga må altså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rettsstridig</w:t>
            </w:r>
            <w:r>
              <w:rPr>
                <w:sz w:val="22"/>
              </w:rPr>
              <w:t xml:space="preserve"> for å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straffbar. Dette </w:t>
            </w:r>
            <w:proofErr w:type="spellStart"/>
            <w:r>
              <w:rPr>
                <w:sz w:val="22"/>
              </w:rPr>
              <w:t>inneber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berre</w:t>
            </w:r>
            <w:proofErr w:type="spellEnd"/>
            <w:r>
              <w:rPr>
                <w:sz w:val="22"/>
              </w:rPr>
              <w:t xml:space="preserve"> at omsynet til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kan hindre at handlinga er straffbar, </w:t>
            </w:r>
            <w:proofErr w:type="spellStart"/>
            <w:r>
              <w:rPr>
                <w:sz w:val="22"/>
              </w:rPr>
              <w:t>noko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kjem attende til, men også at ho må karakteriserast som </w:t>
            </w:r>
            <w:proofErr w:type="spellStart"/>
            <w:r>
              <w:rPr>
                <w:sz w:val="22"/>
              </w:rPr>
              <w:t>utilbørleg</w:t>
            </w:r>
            <w:proofErr w:type="spellEnd"/>
            <w:r>
              <w:rPr>
                <w:sz w:val="22"/>
              </w:rPr>
              <w:t xml:space="preserve"> eller </w:t>
            </w:r>
            <w:proofErr w:type="spellStart"/>
            <w:r>
              <w:rPr>
                <w:sz w:val="22"/>
              </w:rPr>
              <w:t>uforsvarleg</w:t>
            </w:r>
            <w:proofErr w:type="spellEnd"/>
            <w:r>
              <w:rPr>
                <w:sz w:val="22"/>
              </w:rPr>
              <w:t xml:space="preserve">, jf. til dømes </w:t>
            </w:r>
            <w:hyperlink r:id="rId30" w:anchor="reference/avgjorelse/rt-1952-1259" w:history="1">
              <w:r>
                <w:rPr>
                  <w:sz w:val="22"/>
                </w:rPr>
                <w:t>Rt-1952-1259</w:t>
              </w:r>
            </w:hyperlink>
            <w:r>
              <w:rPr>
                <w:sz w:val="22"/>
              </w:rPr>
              <w:t xml:space="preserve"> og </w:t>
            </w:r>
            <w:hyperlink r:id="rId31" w:anchor="reference/avgjorelse/rt-1960-1147" w:history="1">
              <w:r>
                <w:rPr>
                  <w:sz w:val="22"/>
                </w:rPr>
                <w:t>Rt-1960-1147</w:t>
              </w:r>
            </w:hyperlink>
            <w:r>
              <w:rPr>
                <w:sz w:val="22"/>
              </w:rPr>
              <w:t>.</w:t>
            </w:r>
          </w:p>
        </w:tc>
      </w:tr>
    </w:tbl>
    <w:p w14:paraId="13846D09" w14:textId="77777777" w:rsidR="00A4564E" w:rsidRDefault="00A4564E">
      <w:pPr>
        <w:rPr>
          <w:sz w:val="6"/>
        </w:rPr>
      </w:pPr>
    </w:p>
    <w:p w14:paraId="5A57B122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191D4F3B" w14:textId="77777777">
        <w:tc>
          <w:tcPr>
            <w:tcW w:w="720" w:type="dxa"/>
            <w:noWrap/>
            <w:tcMar>
              <w:right w:w="80" w:type="dxa"/>
            </w:tcMar>
          </w:tcPr>
          <w:p w14:paraId="71334E66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(19)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8539238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Innhaldet</w:t>
            </w:r>
            <w:proofErr w:type="spellEnd"/>
            <w:r>
              <w:rPr>
                <w:sz w:val="22"/>
              </w:rPr>
              <w:t xml:space="preserve"> i det som vart </w:t>
            </w:r>
            <w:proofErr w:type="spellStart"/>
            <w:r>
              <w:rPr>
                <w:sz w:val="22"/>
              </w:rPr>
              <w:t>offentleggjort</w:t>
            </w:r>
            <w:proofErr w:type="spellEnd"/>
            <w:r>
              <w:rPr>
                <w:sz w:val="22"/>
              </w:rPr>
              <w:t xml:space="preserve">, har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omtala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tidlegare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meiner at </w:t>
            </w:r>
            <w:proofErr w:type="spellStart"/>
            <w:r>
              <w:rPr>
                <w:sz w:val="22"/>
              </w:rPr>
              <w:t>offentl</w:t>
            </w:r>
            <w:r>
              <w:rPr>
                <w:sz w:val="22"/>
              </w:rPr>
              <w:t>eggjeringa</w:t>
            </w:r>
            <w:proofErr w:type="spellEnd"/>
            <w:r>
              <w:rPr>
                <w:sz w:val="22"/>
              </w:rPr>
              <w:t xml:space="preserve"> av </w:t>
            </w:r>
            <w:proofErr w:type="spellStart"/>
            <w:r>
              <w:rPr>
                <w:sz w:val="22"/>
              </w:rPr>
              <w:t>bileta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videoklyppa</w:t>
            </w:r>
            <w:proofErr w:type="spellEnd"/>
            <w:r>
              <w:rPr>
                <w:sz w:val="22"/>
              </w:rPr>
              <w:t xml:space="preserve">, brevet og referatet var klart </w:t>
            </w:r>
            <w:proofErr w:type="spellStart"/>
            <w:r>
              <w:rPr>
                <w:sz w:val="22"/>
              </w:rPr>
              <w:t>utilbørleg</w:t>
            </w:r>
            <w:proofErr w:type="spellEnd"/>
            <w:r>
              <w:rPr>
                <w:sz w:val="22"/>
              </w:rPr>
              <w:t xml:space="preserve"> og </w:t>
            </w:r>
            <w:proofErr w:type="spellStart"/>
            <w:r>
              <w:rPr>
                <w:sz w:val="22"/>
              </w:rPr>
              <w:t>uforsvarleg</w:t>
            </w:r>
            <w:proofErr w:type="spellEnd"/>
            <w:r>
              <w:rPr>
                <w:sz w:val="22"/>
              </w:rPr>
              <w:t xml:space="preserve"> overfor B. Ho vart utlevert av mor, ved at særs private og sensitive sider ved henne vart delte med </w:t>
            </w:r>
            <w:proofErr w:type="spellStart"/>
            <w:r>
              <w:rPr>
                <w:sz w:val="22"/>
              </w:rPr>
              <w:t>ålmenta</w:t>
            </w:r>
            <w:proofErr w:type="spellEnd"/>
            <w:r>
              <w:rPr>
                <w:sz w:val="22"/>
              </w:rPr>
              <w:t xml:space="preserve">. Dette talar for at det var rettsstridig å </w:t>
            </w:r>
            <w:proofErr w:type="spellStart"/>
            <w:r>
              <w:rPr>
                <w:sz w:val="22"/>
              </w:rPr>
              <w:t>gjera</w:t>
            </w:r>
            <w:proofErr w:type="spellEnd"/>
            <w:r>
              <w:rPr>
                <w:sz w:val="22"/>
              </w:rPr>
              <w:t xml:space="preserve"> material</w:t>
            </w:r>
            <w:r>
              <w:rPr>
                <w:sz w:val="22"/>
              </w:rPr>
              <w:t xml:space="preserve">et </w:t>
            </w:r>
            <w:proofErr w:type="spellStart"/>
            <w:r>
              <w:rPr>
                <w:sz w:val="22"/>
              </w:rPr>
              <w:t>offentleg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tilgjengeleg</w:t>
            </w:r>
            <w:proofErr w:type="spellEnd"/>
            <w:r>
              <w:rPr>
                <w:sz w:val="22"/>
              </w:rPr>
              <w:t xml:space="preserve"> på Facebook-sida, slik A gjorde. Spørsmålet er </w:t>
            </w:r>
            <w:r>
              <w:rPr>
                <w:sz w:val="22"/>
              </w:rPr>
              <w:lastRenderedPageBreak/>
              <w:t xml:space="preserve">om det likevel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er rettsstridig på grunn av forhold som kan </w:t>
            </w:r>
            <w:proofErr w:type="spellStart"/>
            <w:r>
              <w:rPr>
                <w:sz w:val="22"/>
              </w:rPr>
              <w:t>rettferdiggjera</w:t>
            </w:r>
            <w:proofErr w:type="spellEnd"/>
            <w:r>
              <w:rPr>
                <w:sz w:val="22"/>
              </w:rPr>
              <w:t xml:space="preserve"> handlinga.</w:t>
            </w:r>
          </w:p>
        </w:tc>
      </w:tr>
    </w:tbl>
    <w:p w14:paraId="14753898" w14:textId="77777777" w:rsidR="00A4564E" w:rsidRDefault="00A4564E">
      <w:pPr>
        <w:rPr>
          <w:sz w:val="6"/>
        </w:rPr>
      </w:pPr>
    </w:p>
    <w:p w14:paraId="7008CE7F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32FE9D77" w14:textId="77777777">
        <w:tc>
          <w:tcPr>
            <w:tcW w:w="720" w:type="dxa"/>
            <w:noWrap/>
            <w:tcMar>
              <w:right w:w="80" w:type="dxa"/>
            </w:tcMar>
          </w:tcPr>
          <w:p w14:paraId="1CE6CF95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(20)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DB63AE7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samtykke</w:t>
            </w:r>
            <w:r>
              <w:rPr>
                <w:sz w:val="22"/>
              </w:rPr>
              <w:t xml:space="preserve"> kan </w:t>
            </w:r>
            <w:proofErr w:type="spellStart"/>
            <w:r>
              <w:rPr>
                <w:sz w:val="22"/>
              </w:rPr>
              <w:t>gjera</w:t>
            </w:r>
            <w:proofErr w:type="spellEnd"/>
            <w:r>
              <w:rPr>
                <w:sz w:val="22"/>
              </w:rPr>
              <w:t xml:space="preserve"> ei handling straffri.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nemner</w:t>
            </w:r>
            <w:proofErr w:type="spellEnd"/>
            <w:r>
              <w:rPr>
                <w:sz w:val="22"/>
              </w:rPr>
              <w:t xml:space="preserve"> fyrst at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mogleg</w:t>
            </w:r>
            <w:proofErr w:type="spellEnd"/>
            <w:r>
              <w:rPr>
                <w:sz w:val="22"/>
              </w:rPr>
              <w:t xml:space="preserve"> samtykke</w:t>
            </w:r>
            <w:r>
              <w:rPr>
                <w:sz w:val="22"/>
              </w:rPr>
              <w:t xml:space="preserve">, eller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mogleg</w:t>
            </w:r>
            <w:proofErr w:type="spellEnd"/>
            <w:r>
              <w:rPr>
                <w:sz w:val="22"/>
              </w:rPr>
              <w:t xml:space="preserve"> aksept,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B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kan ha </w:t>
            </w:r>
            <w:proofErr w:type="spellStart"/>
            <w:r>
              <w:rPr>
                <w:sz w:val="22"/>
              </w:rPr>
              <w:t>noka</w:t>
            </w:r>
            <w:proofErr w:type="spellEnd"/>
            <w:r>
              <w:rPr>
                <w:sz w:val="22"/>
              </w:rPr>
              <w:t xml:space="preserve"> tyding. B var sju år </w:t>
            </w:r>
            <w:proofErr w:type="spellStart"/>
            <w:r>
              <w:rPr>
                <w:sz w:val="22"/>
              </w:rPr>
              <w:t>gamal</w:t>
            </w:r>
            <w:proofErr w:type="spellEnd"/>
            <w:r>
              <w:rPr>
                <w:sz w:val="22"/>
              </w:rPr>
              <w:t xml:space="preserve"> då materialet </w:t>
            </w:r>
            <w:proofErr w:type="spellStart"/>
            <w:r>
              <w:rPr>
                <w:sz w:val="22"/>
              </w:rPr>
              <w:t>vart</w:t>
            </w:r>
            <w:proofErr w:type="spellEnd"/>
            <w:r>
              <w:rPr>
                <w:sz w:val="22"/>
              </w:rPr>
              <w:t xml:space="preserve"> gjort kjent.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barn på sju år vil i liten grad ha </w:t>
            </w:r>
            <w:proofErr w:type="spellStart"/>
            <w:r>
              <w:rPr>
                <w:sz w:val="22"/>
              </w:rPr>
              <w:t>føresetnader</w:t>
            </w:r>
            <w:proofErr w:type="spellEnd"/>
            <w:r>
              <w:rPr>
                <w:sz w:val="22"/>
              </w:rPr>
              <w:t xml:space="preserve"> for å vurdere </w:t>
            </w:r>
            <w:proofErr w:type="spellStart"/>
            <w:r>
              <w:rPr>
                <w:sz w:val="22"/>
              </w:rPr>
              <w:t>konsekvensane</w:t>
            </w:r>
            <w:proofErr w:type="spellEnd"/>
            <w:r>
              <w:rPr>
                <w:sz w:val="22"/>
              </w:rPr>
              <w:t xml:space="preserve"> av ei </w:t>
            </w:r>
            <w:proofErr w:type="spellStart"/>
            <w:r>
              <w:rPr>
                <w:sz w:val="22"/>
              </w:rPr>
              <w:t>offentleggjering</w:t>
            </w:r>
            <w:proofErr w:type="spellEnd"/>
            <w:r>
              <w:rPr>
                <w:sz w:val="22"/>
              </w:rPr>
              <w:t xml:space="preserve"> – og i alle fall </w:t>
            </w:r>
            <w:proofErr w:type="spellStart"/>
            <w:r>
              <w:rPr>
                <w:sz w:val="22"/>
              </w:rPr>
              <w:t>konsekvensane</w:t>
            </w:r>
            <w:proofErr w:type="spellEnd"/>
            <w:r>
              <w:rPr>
                <w:sz w:val="22"/>
              </w:rPr>
              <w:t xml:space="preserve"> på sikt. Det</w:t>
            </w:r>
            <w:r>
              <w:rPr>
                <w:sz w:val="22"/>
              </w:rPr>
              <w:t xml:space="preserve"> er tale om </w:t>
            </w:r>
            <w:proofErr w:type="spellStart"/>
            <w:r>
              <w:rPr>
                <w:sz w:val="22"/>
              </w:rPr>
              <w:t>opplysningar</w:t>
            </w:r>
            <w:proofErr w:type="spellEnd"/>
            <w:r>
              <w:rPr>
                <w:sz w:val="22"/>
              </w:rPr>
              <w:t xml:space="preserve"> som mange typisk vil </w:t>
            </w:r>
            <w:proofErr w:type="spellStart"/>
            <w:r>
              <w:rPr>
                <w:sz w:val="22"/>
              </w:rPr>
              <w:t>ynskje</w:t>
            </w:r>
            <w:proofErr w:type="spellEnd"/>
            <w:r>
              <w:rPr>
                <w:sz w:val="22"/>
              </w:rPr>
              <w:t xml:space="preserve"> å ha kontroll over. </w:t>
            </w:r>
            <w:proofErr w:type="spellStart"/>
            <w:r>
              <w:rPr>
                <w:sz w:val="22"/>
              </w:rPr>
              <w:t>Sjølv</w:t>
            </w:r>
            <w:proofErr w:type="spellEnd"/>
            <w:r>
              <w:rPr>
                <w:sz w:val="22"/>
              </w:rPr>
              <w:t xml:space="preserve"> om B skulle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kjent med </w:t>
            </w:r>
            <w:proofErr w:type="spellStart"/>
            <w:r>
              <w:rPr>
                <w:sz w:val="22"/>
              </w:rPr>
              <w:t>offentleggjeringa</w:t>
            </w:r>
            <w:proofErr w:type="spellEnd"/>
            <w:r>
              <w:rPr>
                <w:sz w:val="22"/>
              </w:rPr>
              <w:t xml:space="preserve"> og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har reagert, </w:t>
            </w:r>
            <w:proofErr w:type="spellStart"/>
            <w:r>
              <w:rPr>
                <w:sz w:val="22"/>
              </w:rPr>
              <w:t>utelukkar</w:t>
            </w:r>
            <w:proofErr w:type="spellEnd"/>
            <w:r>
              <w:rPr>
                <w:sz w:val="22"/>
              </w:rPr>
              <w:t xml:space="preserve"> dette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seinare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reaksjonar</w:t>
            </w:r>
            <w:proofErr w:type="spellEnd"/>
            <w:r>
              <w:rPr>
                <w:sz w:val="22"/>
              </w:rPr>
              <w:t xml:space="preserve">. Det må </w:t>
            </w:r>
            <w:proofErr w:type="spellStart"/>
            <w:r>
              <w:rPr>
                <w:sz w:val="22"/>
              </w:rPr>
              <w:t>vidare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vega</w:t>
            </w:r>
            <w:proofErr w:type="spellEnd"/>
            <w:r>
              <w:rPr>
                <w:sz w:val="22"/>
              </w:rPr>
              <w:t xml:space="preserve"> tungt at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barn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skal måtte ta stilling ti</w:t>
            </w:r>
            <w:r>
              <w:rPr>
                <w:sz w:val="22"/>
              </w:rPr>
              <w:t xml:space="preserve">l samtykkespørsmål, </w:t>
            </w:r>
            <w:proofErr w:type="spellStart"/>
            <w:r>
              <w:rPr>
                <w:sz w:val="22"/>
              </w:rPr>
              <w:t>sidan</w:t>
            </w:r>
            <w:proofErr w:type="spellEnd"/>
            <w:r>
              <w:rPr>
                <w:sz w:val="22"/>
              </w:rPr>
              <w:t xml:space="preserve"> det lett kan oppstå press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forelder slik at barnet kjem i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lojalitetskonflikt.</w:t>
            </w:r>
          </w:p>
        </w:tc>
      </w:tr>
    </w:tbl>
    <w:p w14:paraId="6CEBA722" w14:textId="77777777" w:rsidR="00A4564E" w:rsidRDefault="00A4564E">
      <w:pPr>
        <w:rPr>
          <w:sz w:val="6"/>
        </w:rPr>
      </w:pPr>
    </w:p>
    <w:p w14:paraId="2777B971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4516B200" w14:textId="77777777">
        <w:tc>
          <w:tcPr>
            <w:tcW w:w="720" w:type="dxa"/>
            <w:noWrap/>
            <w:tcMar>
              <w:right w:w="80" w:type="dxa"/>
            </w:tcMar>
          </w:tcPr>
          <w:p w14:paraId="3711E1B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(21)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40D1620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Det er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forsvararen</w:t>
            </w:r>
            <w:proofErr w:type="spellEnd"/>
            <w:r>
              <w:rPr>
                <w:sz w:val="22"/>
              </w:rPr>
              <w:t xml:space="preserve"> gjort </w:t>
            </w:r>
            <w:proofErr w:type="spellStart"/>
            <w:r>
              <w:rPr>
                <w:sz w:val="22"/>
              </w:rPr>
              <w:t>gjeldande</w:t>
            </w:r>
            <w:proofErr w:type="spellEnd"/>
            <w:r>
              <w:rPr>
                <w:sz w:val="22"/>
              </w:rPr>
              <w:t xml:space="preserve"> at det </w:t>
            </w:r>
            <w:proofErr w:type="spellStart"/>
            <w:r>
              <w:rPr>
                <w:sz w:val="22"/>
              </w:rPr>
              <w:t>låg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innanfor</w:t>
            </w:r>
            <w:proofErr w:type="spellEnd"/>
            <w:r>
              <w:rPr>
                <w:sz w:val="22"/>
              </w:rPr>
              <w:t xml:space="preserve"> det </w:t>
            </w:r>
            <w:proofErr w:type="spellStart"/>
            <w:r>
              <w:rPr>
                <w:sz w:val="22"/>
              </w:rPr>
              <w:t>attverande</w:t>
            </w:r>
            <w:proofErr w:type="spellEnd"/>
            <w:r>
              <w:rPr>
                <w:sz w:val="22"/>
              </w:rPr>
              <w:t xml:space="preserve"> foreldreansvaret til A å </w:t>
            </w:r>
            <w:proofErr w:type="spellStart"/>
            <w:r>
              <w:rPr>
                <w:sz w:val="22"/>
              </w:rPr>
              <w:t>samtykkje</w:t>
            </w:r>
            <w:proofErr w:type="spellEnd"/>
            <w:r>
              <w:rPr>
                <w:sz w:val="22"/>
              </w:rPr>
              <w:t xml:space="preserve"> til publiseringa på Face</w:t>
            </w:r>
            <w:r>
              <w:rPr>
                <w:sz w:val="22"/>
              </w:rPr>
              <w:t>book på vegner av dottera.</w:t>
            </w:r>
          </w:p>
        </w:tc>
      </w:tr>
    </w:tbl>
    <w:p w14:paraId="12B784D1" w14:textId="77777777" w:rsidR="00A4564E" w:rsidRDefault="00A4564E">
      <w:pPr>
        <w:rPr>
          <w:sz w:val="6"/>
        </w:rPr>
      </w:pPr>
    </w:p>
    <w:p w14:paraId="256EFF19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22BD6206" w14:textId="77777777">
        <w:tc>
          <w:tcPr>
            <w:tcW w:w="720" w:type="dxa"/>
            <w:noWrap/>
            <w:tcMar>
              <w:right w:w="80" w:type="dxa"/>
            </w:tcMar>
          </w:tcPr>
          <w:p w14:paraId="2E3D2C43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(22)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BD7D96F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tek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stilling til omfanget av A</w:t>
            </w:r>
            <w:r>
              <w:rPr>
                <w:sz w:val="22"/>
              </w:rPr>
              <w:t xml:space="preserve">s foreldreansvar og kompetanse i den aktuelle situasjonen, </w:t>
            </w:r>
            <w:proofErr w:type="spellStart"/>
            <w:r>
              <w:rPr>
                <w:sz w:val="22"/>
              </w:rPr>
              <w:t>sidan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uansett meiner dette blir ei for snever tilnærming. Etter mitt syn kan den </w:t>
            </w:r>
            <w:proofErr w:type="spellStart"/>
            <w:r>
              <w:rPr>
                <w:sz w:val="22"/>
              </w:rPr>
              <w:t>rettslege</w:t>
            </w:r>
            <w:proofErr w:type="spellEnd"/>
            <w:r>
              <w:rPr>
                <w:sz w:val="22"/>
              </w:rPr>
              <w:t xml:space="preserve"> avgrensinga av foreldreansvaret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avgjerande</w:t>
            </w:r>
            <w:proofErr w:type="spellEnd"/>
            <w:r>
              <w:rPr>
                <w:sz w:val="22"/>
              </w:rPr>
              <w:t xml:space="preserve"> i vurderinga av samtykke, rettsstrid og straff. </w:t>
            </w:r>
            <w:hyperlink r:id="rId32" w:anchor="reference/lov/1981-04-08-7/§30" w:history="1">
              <w:r>
                <w:rPr>
                  <w:sz w:val="22"/>
                </w:rPr>
                <w:t>Barnelova § 30</w:t>
              </w:r>
            </w:hyperlink>
            <w:r>
              <w:rPr>
                <w:sz w:val="22"/>
              </w:rPr>
              <w:t xml:space="preserve"> fyrste ledd fjerde punktum slår fast at foreldreansvaret skal </w:t>
            </w:r>
            <w:proofErr w:type="spellStart"/>
            <w:r>
              <w:rPr>
                <w:sz w:val="22"/>
              </w:rPr>
              <w:t>utøvast</w:t>
            </w:r>
            <w:proofErr w:type="spellEnd"/>
            <w:r>
              <w:rPr>
                <w:sz w:val="22"/>
              </w:rPr>
              <w:t xml:space="preserve"> ut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barnets interesser og behov. Det </w:t>
            </w:r>
            <w:proofErr w:type="spellStart"/>
            <w:r>
              <w:rPr>
                <w:sz w:val="22"/>
              </w:rPr>
              <w:t>avgjerande</w:t>
            </w:r>
            <w:proofErr w:type="spellEnd"/>
            <w:r>
              <w:rPr>
                <w:sz w:val="22"/>
              </w:rPr>
              <w:t xml:space="preserve"> må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at </w:t>
            </w:r>
            <w:proofErr w:type="spellStart"/>
            <w:r>
              <w:rPr>
                <w:sz w:val="22"/>
              </w:rPr>
              <w:t>offentleggjering</w:t>
            </w:r>
            <w:proofErr w:type="spellEnd"/>
            <w:r>
              <w:rPr>
                <w:sz w:val="22"/>
              </w:rPr>
              <w:t xml:space="preserve"> uansett vil </w:t>
            </w:r>
            <w:proofErr w:type="spellStart"/>
            <w:r>
              <w:rPr>
                <w:sz w:val="22"/>
              </w:rPr>
              <w:t>ver</w:t>
            </w:r>
            <w:r>
              <w:rPr>
                <w:sz w:val="22"/>
              </w:rPr>
              <w:t>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misbruk av den </w:t>
            </w:r>
            <w:proofErr w:type="spellStart"/>
            <w:r>
              <w:rPr>
                <w:sz w:val="22"/>
              </w:rPr>
              <w:t>moglege</w:t>
            </w:r>
            <w:proofErr w:type="spellEnd"/>
            <w:r>
              <w:rPr>
                <w:sz w:val="22"/>
              </w:rPr>
              <w:t xml:space="preserve"> kompetansen. Mor kan heilt enkelt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på vegner av dottera </w:t>
            </w:r>
            <w:proofErr w:type="spellStart"/>
            <w:r>
              <w:rPr>
                <w:sz w:val="22"/>
              </w:rPr>
              <w:t>samtykkje</w:t>
            </w:r>
            <w:proofErr w:type="spellEnd"/>
            <w:r>
              <w:rPr>
                <w:sz w:val="22"/>
              </w:rPr>
              <w:t xml:space="preserve"> til eigne </w:t>
            </w:r>
            <w:proofErr w:type="spellStart"/>
            <w:r>
              <w:rPr>
                <w:sz w:val="22"/>
              </w:rPr>
              <w:t>handlingar</w:t>
            </w:r>
            <w:proofErr w:type="spellEnd"/>
            <w:r>
              <w:rPr>
                <w:sz w:val="22"/>
              </w:rPr>
              <w:t xml:space="preserve"> som </w:t>
            </w:r>
            <w:proofErr w:type="spellStart"/>
            <w:r>
              <w:rPr>
                <w:sz w:val="22"/>
              </w:rPr>
              <w:t>elles</w:t>
            </w:r>
            <w:proofErr w:type="spellEnd"/>
            <w:r>
              <w:rPr>
                <w:sz w:val="22"/>
              </w:rPr>
              <w:t xml:space="preserve"> ville ha </w:t>
            </w:r>
            <w:proofErr w:type="spellStart"/>
            <w:r>
              <w:rPr>
                <w:sz w:val="22"/>
              </w:rPr>
              <w:t>vore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lovbrot</w:t>
            </w:r>
            <w:proofErr w:type="spellEnd"/>
            <w:r>
              <w:rPr>
                <w:sz w:val="22"/>
              </w:rPr>
              <w:t xml:space="preserve"> overfor dottera i denne situasjonen. I motsett fall vil barn generelt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utan</w:t>
            </w:r>
            <w:proofErr w:type="spellEnd"/>
            <w:r>
              <w:rPr>
                <w:sz w:val="22"/>
              </w:rPr>
              <w:t xml:space="preserve"> vern mot </w:t>
            </w:r>
            <w:proofErr w:type="spellStart"/>
            <w:r>
              <w:rPr>
                <w:sz w:val="22"/>
              </w:rPr>
              <w:t>utilbørleg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off</w:t>
            </w:r>
            <w:r>
              <w:rPr>
                <w:sz w:val="22"/>
              </w:rPr>
              <w:t>entleggjering</w:t>
            </w:r>
            <w:proofErr w:type="spellEnd"/>
            <w:r>
              <w:rPr>
                <w:sz w:val="22"/>
              </w:rPr>
              <w:t xml:space="preserve"> av sensitive og private forhold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foreldres side.</w:t>
            </w:r>
          </w:p>
        </w:tc>
      </w:tr>
    </w:tbl>
    <w:p w14:paraId="56664CD5" w14:textId="77777777" w:rsidR="00A4564E" w:rsidRDefault="00A4564E">
      <w:pPr>
        <w:rPr>
          <w:sz w:val="6"/>
        </w:rPr>
      </w:pPr>
    </w:p>
    <w:p w14:paraId="2D9E5A40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3250F81A" w14:textId="77777777">
        <w:tc>
          <w:tcPr>
            <w:tcW w:w="720" w:type="dxa"/>
            <w:noWrap/>
            <w:tcMar>
              <w:right w:w="80" w:type="dxa"/>
            </w:tcMar>
          </w:tcPr>
          <w:p w14:paraId="2EF91F0B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(23)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2628C203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Det kan sjå ut til at dette er </w:t>
            </w:r>
            <w:proofErr w:type="spellStart"/>
            <w:r>
              <w:rPr>
                <w:sz w:val="22"/>
              </w:rPr>
              <w:t>føresett</w:t>
            </w:r>
            <w:proofErr w:type="spellEnd"/>
            <w:r>
              <w:rPr>
                <w:sz w:val="22"/>
              </w:rPr>
              <w:t xml:space="preserve"> i </w:t>
            </w:r>
            <w:proofErr w:type="spellStart"/>
            <w:r>
              <w:rPr>
                <w:sz w:val="22"/>
              </w:rPr>
              <w:t>førearbeida</w:t>
            </w:r>
            <w:proofErr w:type="spellEnd"/>
            <w:r>
              <w:rPr>
                <w:sz w:val="22"/>
              </w:rPr>
              <w:t xml:space="preserve"> til </w:t>
            </w:r>
            <w:hyperlink r:id="rId33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, jf. </w:t>
            </w:r>
            <w:hyperlink r:id="rId34" w:anchor="reference/forarbeid/otprp-22-200809/s425" w:history="1">
              <w:r>
                <w:rPr>
                  <w:sz w:val="22"/>
                </w:rPr>
                <w:t>Ot.prp.nr.22 (2008–2009) side 425:</w:t>
              </w:r>
            </w:hyperlink>
          </w:p>
          <w:p w14:paraId="04A7BED7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«Bestemmelsen kan etter omstendighetene også få anvendelse på foreldre som legger ut personlige </w:t>
            </w:r>
            <w:proofErr w:type="spellStart"/>
            <w:r>
              <w:rPr>
                <w:sz w:val="22"/>
              </w:rPr>
              <w:t>opplysinger</w:t>
            </w:r>
            <w:proofErr w:type="spellEnd"/>
            <w:r>
              <w:rPr>
                <w:sz w:val="22"/>
              </w:rPr>
              <w:t xml:space="preserve"> om sine barn på internett, for eksempel foranl</w:t>
            </w:r>
            <w:r>
              <w:rPr>
                <w:sz w:val="22"/>
              </w:rPr>
              <w:t>ediget av en barnevernssak.»</w:t>
            </w:r>
          </w:p>
        </w:tc>
      </w:tr>
    </w:tbl>
    <w:p w14:paraId="674AC78C" w14:textId="77777777" w:rsidR="00A4564E" w:rsidRDefault="00A4564E">
      <w:pPr>
        <w:rPr>
          <w:sz w:val="6"/>
        </w:rPr>
      </w:pPr>
    </w:p>
    <w:p w14:paraId="3AD6385A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C79FD4F" w14:textId="77777777">
        <w:tc>
          <w:tcPr>
            <w:tcW w:w="720" w:type="dxa"/>
            <w:noWrap/>
            <w:tcMar>
              <w:right w:w="80" w:type="dxa"/>
            </w:tcMar>
          </w:tcPr>
          <w:p w14:paraId="473C9D27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(24)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B65AD71" w14:textId="77777777" w:rsidR="00A4564E" w:rsidRDefault="00B9717A">
            <w:pPr>
              <w:rPr>
                <w:sz w:val="6"/>
              </w:rPr>
            </w:pPr>
            <w:proofErr w:type="spellStart"/>
            <w:r>
              <w:rPr>
                <w:sz w:val="22"/>
              </w:rPr>
              <w:t>Liknande</w:t>
            </w:r>
            <w:proofErr w:type="spellEnd"/>
            <w:r>
              <w:rPr>
                <w:sz w:val="22"/>
              </w:rPr>
              <w:t xml:space="preserve"> synspunkt kom fram under handsaminga i Stortinget, jf. </w:t>
            </w:r>
            <w:hyperlink r:id="rId35" w:anchor="reference/forarbeid/inns-o-73-200809/s28" w:history="1">
              <w:r>
                <w:rPr>
                  <w:sz w:val="22"/>
                </w:rPr>
                <w:t>Innst.O.nr.73 (2008–2009) side 28:</w:t>
              </w:r>
            </w:hyperlink>
          </w:p>
          <w:p w14:paraId="06BBC4CF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i/>
                <w:sz w:val="22"/>
              </w:rPr>
              <w:t>Komiteen</w:t>
            </w:r>
            <w:r>
              <w:rPr>
                <w:sz w:val="22"/>
              </w:rPr>
              <w:t xml:space="preserve"> er svært bekymret over</w:t>
            </w:r>
            <w:r>
              <w:rPr>
                <w:sz w:val="22"/>
              </w:rPr>
              <w:t xml:space="preserve"> en utvikling der barn blir eksponert på Internett i forbindelse med omsorgskonflikter. Usensurerte opplysninger fra barnevernssaker, videoer fra omsorgsovertakelser og intervjuer med barn om hvor de helst vil bo, ligger på Internett og er i seg selv overg</w:t>
            </w:r>
            <w:r>
              <w:rPr>
                <w:sz w:val="22"/>
              </w:rPr>
              <w:t xml:space="preserve">rep mot barna som verken kjenner konsekvensen av det eller har styring med hvem de eksponeres for. ... Både forslaget til </w:t>
            </w:r>
            <w:hyperlink r:id="rId36" w:anchor="reference/lov/2005-05-20-28/§266" w:history="1">
              <w:r>
                <w:rPr>
                  <w:sz w:val="22"/>
                </w:rPr>
                <w:t>§ 266</w:t>
              </w:r>
            </w:hyperlink>
            <w:r>
              <w:rPr>
                <w:sz w:val="22"/>
              </w:rPr>
              <w:t xml:space="preserve"> om hensynsløs atferd og </w:t>
            </w:r>
            <w:hyperlink r:id="rId37" w:anchor="reference/lov/2005-05-20-28/§267" w:history="1">
              <w:r>
                <w:rPr>
                  <w:sz w:val="22"/>
                </w:rPr>
                <w:t>§ 267</w:t>
              </w:r>
            </w:hyperlink>
            <w:r>
              <w:rPr>
                <w:sz w:val="22"/>
              </w:rPr>
              <w:t xml:space="preserve"> om krenkelse av privatlivets fred kan være aktuelle straffebestemmelser her.»</w:t>
            </w:r>
          </w:p>
        </w:tc>
      </w:tr>
    </w:tbl>
    <w:p w14:paraId="1EF79DD0" w14:textId="77777777" w:rsidR="00A4564E" w:rsidRDefault="00A4564E">
      <w:pPr>
        <w:rPr>
          <w:sz w:val="6"/>
        </w:rPr>
      </w:pPr>
    </w:p>
    <w:p w14:paraId="1C6DED70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74F2264" w14:textId="77777777">
        <w:tc>
          <w:tcPr>
            <w:tcW w:w="720" w:type="dxa"/>
            <w:noWrap/>
            <w:tcMar>
              <w:right w:w="80" w:type="dxa"/>
            </w:tcMar>
          </w:tcPr>
          <w:p w14:paraId="403A8FFE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(25)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21B2E6DB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Konklusjonen er etter dette at </w:t>
            </w:r>
            <w:proofErr w:type="spellStart"/>
            <w:r>
              <w:rPr>
                <w:sz w:val="22"/>
              </w:rPr>
              <w:t>korkje</w:t>
            </w:r>
            <w:proofErr w:type="spellEnd"/>
            <w:r>
              <w:rPr>
                <w:sz w:val="22"/>
              </w:rPr>
              <w:t xml:space="preserve"> B </w:t>
            </w:r>
            <w:proofErr w:type="spellStart"/>
            <w:r>
              <w:rPr>
                <w:sz w:val="22"/>
              </w:rPr>
              <w:t>sjølv</w:t>
            </w:r>
            <w:proofErr w:type="spellEnd"/>
            <w:r>
              <w:rPr>
                <w:sz w:val="22"/>
              </w:rPr>
              <w:t xml:space="preserve"> eller A</w:t>
            </w:r>
            <w:r>
              <w:rPr>
                <w:sz w:val="22"/>
              </w:rPr>
              <w:t xml:space="preserve"> kunne </w:t>
            </w:r>
            <w:proofErr w:type="spellStart"/>
            <w:r>
              <w:rPr>
                <w:sz w:val="22"/>
              </w:rPr>
              <w:t>samtykkje</w:t>
            </w:r>
            <w:proofErr w:type="spellEnd"/>
            <w:r>
              <w:rPr>
                <w:sz w:val="22"/>
              </w:rPr>
              <w:t xml:space="preserve"> til </w:t>
            </w:r>
            <w:proofErr w:type="spellStart"/>
            <w:r>
              <w:rPr>
                <w:sz w:val="22"/>
              </w:rPr>
              <w:t>handlingane</w:t>
            </w:r>
            <w:proofErr w:type="spellEnd"/>
            <w:r>
              <w:rPr>
                <w:sz w:val="22"/>
              </w:rPr>
              <w:t xml:space="preserve">, med den verknaden at </w:t>
            </w:r>
            <w:proofErr w:type="spellStart"/>
            <w:r>
              <w:rPr>
                <w:sz w:val="22"/>
              </w:rPr>
              <w:t>offentleggjeringa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ville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rettsstridig.</w:t>
            </w:r>
          </w:p>
        </w:tc>
      </w:tr>
    </w:tbl>
    <w:p w14:paraId="61E7576E" w14:textId="77777777" w:rsidR="00A4564E" w:rsidRDefault="00A4564E">
      <w:pPr>
        <w:rPr>
          <w:sz w:val="6"/>
        </w:rPr>
      </w:pPr>
    </w:p>
    <w:p w14:paraId="0311EF88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468CDB29" w14:textId="77777777">
        <w:tc>
          <w:tcPr>
            <w:tcW w:w="720" w:type="dxa"/>
            <w:noWrap/>
            <w:tcMar>
              <w:right w:w="80" w:type="dxa"/>
            </w:tcMar>
          </w:tcPr>
          <w:p w14:paraId="621EDC57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(26)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4F7EEB1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Privatlivets fred kan etter </w:t>
            </w:r>
            <w:proofErr w:type="spellStart"/>
            <w:r>
              <w:rPr>
                <w:sz w:val="22"/>
              </w:rPr>
              <w:t>omstenda</w:t>
            </w:r>
            <w:proofErr w:type="spellEnd"/>
            <w:r>
              <w:rPr>
                <w:sz w:val="22"/>
              </w:rPr>
              <w:t xml:space="preserve"> stå i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spenningsforhold til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. Begge </w:t>
            </w:r>
            <w:proofErr w:type="spellStart"/>
            <w:r>
              <w:rPr>
                <w:sz w:val="22"/>
              </w:rPr>
              <w:t>delar</w:t>
            </w:r>
            <w:proofErr w:type="spellEnd"/>
            <w:r>
              <w:rPr>
                <w:sz w:val="22"/>
              </w:rPr>
              <w:t xml:space="preserve"> har krav på vern. Spørsmålet blir om omsynet til privatlivets fred må vike for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her, slik at A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kan </w:t>
            </w:r>
            <w:proofErr w:type="spellStart"/>
            <w:r>
              <w:rPr>
                <w:sz w:val="22"/>
              </w:rPr>
              <w:t>straffast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24C08C16" w14:textId="77777777" w:rsidR="00A4564E" w:rsidRDefault="00A4564E">
      <w:pPr>
        <w:rPr>
          <w:sz w:val="6"/>
        </w:rPr>
      </w:pPr>
    </w:p>
    <w:p w14:paraId="09CAF9D1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24B37C1D" w14:textId="77777777">
        <w:tc>
          <w:tcPr>
            <w:tcW w:w="720" w:type="dxa"/>
            <w:noWrap/>
            <w:tcMar>
              <w:right w:w="80" w:type="dxa"/>
            </w:tcMar>
          </w:tcPr>
          <w:p w14:paraId="4ADE87E3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(27)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60FFBCF" w14:textId="77777777" w:rsidR="00A4564E" w:rsidRDefault="00B9717A">
            <w:pPr>
              <w:rPr>
                <w:sz w:val="6"/>
              </w:rPr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tek</w:t>
            </w:r>
            <w:proofErr w:type="spellEnd"/>
            <w:r>
              <w:rPr>
                <w:sz w:val="22"/>
              </w:rPr>
              <w:t xml:space="preserve"> utgangspunkt </w:t>
            </w: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førearbeida</w:t>
            </w:r>
            <w:proofErr w:type="spellEnd"/>
            <w:r>
              <w:rPr>
                <w:sz w:val="22"/>
              </w:rPr>
              <w:t xml:space="preserve"> til </w:t>
            </w:r>
            <w:hyperlink r:id="rId38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, </w:t>
            </w:r>
            <w:hyperlink r:id="rId39" w:anchor="reference/forarbeid/otprp-22-200809/s148" w:history="1">
              <w:r>
                <w:rPr>
                  <w:sz w:val="22"/>
                </w:rPr>
                <w:t>Ot.prp.nr.22 (2008–2009) side 148-149</w:t>
              </w:r>
            </w:hyperlink>
            <w:r>
              <w:rPr>
                <w:sz w:val="22"/>
              </w:rPr>
              <w:t>, som presiser</w:t>
            </w:r>
            <w:r>
              <w:rPr>
                <w:sz w:val="22"/>
              </w:rPr>
              <w:t xml:space="preserve">er </w:t>
            </w:r>
            <w:proofErr w:type="spellStart"/>
            <w:r>
              <w:rPr>
                <w:sz w:val="22"/>
              </w:rPr>
              <w:t>fylgjande</w:t>
            </w:r>
            <w:proofErr w:type="spellEnd"/>
            <w:r>
              <w:rPr>
                <w:sz w:val="22"/>
              </w:rPr>
              <w:t>:</w:t>
            </w:r>
          </w:p>
          <w:p w14:paraId="3E3C2711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«Retten til diskresjon om private forhold er ikke absolutt, og beskyttelsesinteressen må avveies mot hensynet til ytringsfriheten. Både privatlivets fred og ytringsfriheten har krav på vern. </w:t>
            </w:r>
            <w:hyperlink r:id="rId40" w:anchor="reference/lov/1999-05-21-30/emkn/a8" w:history="1">
              <w:r>
                <w:rPr>
                  <w:sz w:val="22"/>
                </w:rPr>
                <w:t>EMK artikkel 8</w:t>
              </w:r>
            </w:hyperlink>
            <w:r>
              <w:rPr>
                <w:sz w:val="22"/>
              </w:rPr>
              <w:t xml:space="preserve"> og </w:t>
            </w:r>
            <w:hyperlink r:id="rId41" w:anchor="reference/lov/1999-05-21-30/spn/a17" w:history="1">
              <w:r>
                <w:rPr>
                  <w:sz w:val="22"/>
                </w:rPr>
                <w:t>SP artikkel 17</w:t>
              </w:r>
            </w:hyperlink>
            <w:r>
              <w:rPr>
                <w:sz w:val="22"/>
              </w:rPr>
              <w:t xml:space="preserve"> verner privatlivets fred, mens </w:t>
            </w:r>
            <w:hyperlink r:id="rId42" w:anchor="reference/lov/1814-05-17/§100" w:history="1">
              <w:r>
                <w:rPr>
                  <w:sz w:val="22"/>
                </w:rPr>
                <w:t>Grunnloven § 100</w:t>
              </w:r>
            </w:hyperlink>
            <w:r>
              <w:rPr>
                <w:sz w:val="22"/>
              </w:rPr>
              <w:t xml:space="preserve">, </w:t>
            </w:r>
            <w:hyperlink r:id="rId43" w:anchor="reference/lov/1999-05-21-30/emkn/a10" w:history="1">
              <w:r>
                <w:rPr>
                  <w:sz w:val="22"/>
                </w:rPr>
                <w:t>EMK artikkel 10</w:t>
              </w:r>
            </w:hyperlink>
            <w:r>
              <w:rPr>
                <w:sz w:val="22"/>
              </w:rPr>
              <w:t xml:space="preserve"> og </w:t>
            </w:r>
            <w:hyperlink r:id="rId44" w:anchor="reference/lov/1999-05-21-30/spn/a19" w:history="1">
              <w:r>
                <w:rPr>
                  <w:sz w:val="22"/>
                </w:rPr>
                <w:t>SP art. 19</w:t>
              </w:r>
            </w:hyperlink>
            <w:r>
              <w:rPr>
                <w:sz w:val="22"/>
              </w:rPr>
              <w:t xml:space="preserve"> verner ytringsfriheten. Ved avveiningen h</w:t>
            </w:r>
            <w:r>
              <w:rPr>
                <w:sz w:val="22"/>
              </w:rPr>
              <w:t xml:space="preserve">ar </w:t>
            </w:r>
            <w:proofErr w:type="spellStart"/>
            <w:r>
              <w:rPr>
                <w:sz w:val="22"/>
              </w:rPr>
              <w:t>EMDs</w:t>
            </w:r>
            <w:proofErr w:type="spellEnd"/>
            <w:r>
              <w:rPr>
                <w:sz w:val="22"/>
              </w:rPr>
              <w:t xml:space="preserve"> praksis inntatt en sentral posisjon i de senere årene. Ved vurderingen er det spesielt av betydning om forholdene som blir gjort offentlige har allmenn interesse, herunder om de personene som blir omtalt innehar sentrale samfunnsfunksjoner, jf. </w:t>
            </w:r>
            <w:hyperlink r:id="rId45" w:anchor="reference/avgjorelse/rt-2007-687" w:history="1">
              <w:r>
                <w:rPr>
                  <w:sz w:val="22"/>
                </w:rPr>
                <w:t>Rt-2007-687</w:t>
              </w:r>
            </w:hyperlink>
            <w:r>
              <w:rPr>
                <w:sz w:val="22"/>
              </w:rPr>
              <w:t xml:space="preserve"> og </w:t>
            </w:r>
            <w:hyperlink r:id="rId46" w:anchor="reference/avgjorelse/rt-2008-489" w:history="1">
              <w:r>
                <w:rPr>
                  <w:sz w:val="22"/>
                </w:rPr>
                <w:t>Rt-2008-489</w:t>
              </w:r>
            </w:hyperlink>
            <w:r>
              <w:rPr>
                <w:sz w:val="22"/>
              </w:rPr>
              <w:t>.»</w:t>
            </w:r>
          </w:p>
        </w:tc>
      </w:tr>
    </w:tbl>
    <w:p w14:paraId="14AD1C36" w14:textId="77777777" w:rsidR="00A4564E" w:rsidRDefault="00A4564E">
      <w:pPr>
        <w:rPr>
          <w:sz w:val="6"/>
        </w:rPr>
      </w:pPr>
    </w:p>
    <w:p w14:paraId="501FF585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635D3ACF" w14:textId="77777777">
        <w:tc>
          <w:tcPr>
            <w:tcW w:w="720" w:type="dxa"/>
            <w:noWrap/>
            <w:tcMar>
              <w:right w:w="80" w:type="dxa"/>
            </w:tcMar>
          </w:tcPr>
          <w:p w14:paraId="751AC81B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(28)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1F7B9704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Det må altså </w:t>
            </w:r>
            <w:proofErr w:type="spellStart"/>
            <w:r>
              <w:rPr>
                <w:sz w:val="22"/>
              </w:rPr>
              <w:t>gjennomførast</w:t>
            </w:r>
            <w:proofErr w:type="spellEnd"/>
            <w:r>
              <w:rPr>
                <w:sz w:val="22"/>
              </w:rPr>
              <w:t xml:space="preserve"> ei avveging mellom retten til privatliv etter </w:t>
            </w:r>
            <w:hyperlink r:id="rId47" w:anchor="reference/lov/1814-05-17/§102" w:history="1">
              <w:r>
                <w:rPr>
                  <w:sz w:val="22"/>
                </w:rPr>
                <w:t>Grunnlova § 102</w:t>
              </w:r>
            </w:hyperlink>
            <w:r>
              <w:rPr>
                <w:sz w:val="22"/>
              </w:rPr>
              <w:t xml:space="preserve">, Den europeiske menneskerettskonvensjonen – EMK – </w:t>
            </w:r>
            <w:hyperlink r:id="rId48" w:anchor="reference/lov/1999-05-21-30/emkn/a8" w:history="1">
              <w:r>
                <w:rPr>
                  <w:sz w:val="22"/>
                </w:rPr>
                <w:t>artikkel 8</w:t>
              </w:r>
            </w:hyperlink>
            <w:r>
              <w:rPr>
                <w:sz w:val="22"/>
              </w:rPr>
              <w:t xml:space="preserve"> og FNs konvensjon om sivile og politiske </w:t>
            </w:r>
            <w:proofErr w:type="spellStart"/>
            <w:r>
              <w:rPr>
                <w:sz w:val="22"/>
              </w:rPr>
              <w:t>rettar</w:t>
            </w:r>
            <w:proofErr w:type="spellEnd"/>
            <w:r>
              <w:rPr>
                <w:sz w:val="22"/>
              </w:rPr>
              <w:t xml:space="preserve"> – SP – </w:t>
            </w:r>
            <w:hyperlink r:id="rId49" w:anchor="reference/lov/1999-05-21-30/spn/a17" w:history="1">
              <w:r>
                <w:rPr>
                  <w:sz w:val="22"/>
                </w:rPr>
                <w:t>artikkel 17</w:t>
              </w:r>
            </w:hyperlink>
            <w:r>
              <w:rPr>
                <w:sz w:val="22"/>
              </w:rPr>
              <w:t xml:space="preserve"> på den </w:t>
            </w:r>
            <w:proofErr w:type="spellStart"/>
            <w:r>
              <w:rPr>
                <w:sz w:val="22"/>
              </w:rPr>
              <w:t>eine</w:t>
            </w:r>
            <w:proofErr w:type="spellEnd"/>
            <w:r>
              <w:rPr>
                <w:sz w:val="22"/>
              </w:rPr>
              <w:t xml:space="preserve"> sida og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etter </w:t>
            </w:r>
            <w:hyperlink r:id="rId50" w:anchor="reference/lov/1814-05-17/§100" w:history="1">
              <w:r>
                <w:rPr>
                  <w:sz w:val="22"/>
                </w:rPr>
                <w:t>Grunnlova § 100</w:t>
              </w:r>
            </w:hyperlink>
            <w:r>
              <w:rPr>
                <w:sz w:val="22"/>
              </w:rPr>
              <w:t xml:space="preserve">, </w:t>
            </w:r>
            <w:hyperlink r:id="rId51" w:anchor="reference/lov/1999-05-21-30/emkn/a10" w:history="1">
              <w:r>
                <w:rPr>
                  <w:sz w:val="22"/>
                </w:rPr>
                <w:t>EMK artikkel 10</w:t>
              </w:r>
            </w:hyperlink>
            <w:r>
              <w:rPr>
                <w:sz w:val="22"/>
              </w:rPr>
              <w:t xml:space="preserve"> og </w:t>
            </w:r>
            <w:hyperlink r:id="rId52" w:anchor="reference/lov/1999-05-21-30/spn/a19" w:history="1">
              <w:r>
                <w:rPr>
                  <w:sz w:val="22"/>
                </w:rPr>
                <w:t>SP artikkel 19</w:t>
              </w:r>
            </w:hyperlink>
            <w:r>
              <w:rPr>
                <w:sz w:val="22"/>
              </w:rPr>
              <w:t xml:space="preserve"> på den andre sida. Når det er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barn som er eksponert, vil også </w:t>
            </w:r>
            <w:hyperlink r:id="rId53" w:anchor="reference/lov/1814-05-17/§104" w:history="1">
              <w:r>
                <w:rPr>
                  <w:sz w:val="22"/>
                </w:rPr>
                <w:t>Grunnlova § 104</w:t>
              </w:r>
            </w:hyperlink>
            <w:r>
              <w:rPr>
                <w:sz w:val="22"/>
              </w:rPr>
              <w:t xml:space="preserve"> tredje ledd fyrste punktum </w:t>
            </w:r>
            <w:proofErr w:type="spellStart"/>
            <w:r>
              <w:rPr>
                <w:sz w:val="22"/>
              </w:rPr>
              <w:t>vera</w:t>
            </w:r>
            <w:proofErr w:type="spellEnd"/>
            <w:r>
              <w:rPr>
                <w:sz w:val="22"/>
              </w:rPr>
              <w:t xml:space="preserve"> relevant. Her </w:t>
            </w:r>
            <w:proofErr w:type="spellStart"/>
            <w:r>
              <w:rPr>
                <w:sz w:val="22"/>
              </w:rPr>
              <w:t>heiter</w:t>
            </w:r>
            <w:proofErr w:type="spellEnd"/>
            <w:r>
              <w:rPr>
                <w:sz w:val="22"/>
              </w:rPr>
              <w:t xml:space="preserve"> det at barn har</w:t>
            </w:r>
            <w:r>
              <w:rPr>
                <w:sz w:val="22"/>
              </w:rPr>
              <w:t xml:space="preserve"> rett til vern om sin </w:t>
            </w:r>
            <w:proofErr w:type="spellStart"/>
            <w:r>
              <w:rPr>
                <w:sz w:val="22"/>
              </w:rPr>
              <w:t>personlege</w:t>
            </w:r>
            <w:proofErr w:type="spellEnd"/>
            <w:r>
              <w:rPr>
                <w:sz w:val="22"/>
              </w:rPr>
              <w:t xml:space="preserve"> integritet. Det same </w:t>
            </w:r>
            <w:proofErr w:type="spellStart"/>
            <w:r>
              <w:rPr>
                <w:sz w:val="22"/>
              </w:rPr>
              <w:t>fylgjer</w:t>
            </w:r>
            <w:proofErr w:type="spellEnd"/>
            <w:r>
              <w:rPr>
                <w:sz w:val="22"/>
              </w:rPr>
              <w:t xml:space="preserve"> av FNs </w:t>
            </w:r>
            <w:hyperlink r:id="rId54" w:anchor="reference/lov/1999-05-21-30/bkn/a16" w:history="1">
              <w:r>
                <w:rPr>
                  <w:sz w:val="22"/>
                </w:rPr>
                <w:t>barnekonvensjon artikkel 16</w:t>
              </w:r>
            </w:hyperlink>
            <w:r>
              <w:rPr>
                <w:sz w:val="22"/>
              </w:rPr>
              <w:t>.</w:t>
            </w:r>
          </w:p>
        </w:tc>
      </w:tr>
    </w:tbl>
    <w:p w14:paraId="0AA6068C" w14:textId="77777777" w:rsidR="00A4564E" w:rsidRDefault="00A4564E">
      <w:pPr>
        <w:rPr>
          <w:sz w:val="6"/>
        </w:rPr>
      </w:pPr>
    </w:p>
    <w:p w14:paraId="1E55D931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1F70756A" w14:textId="77777777">
        <w:tc>
          <w:tcPr>
            <w:tcW w:w="720" w:type="dxa"/>
            <w:noWrap/>
            <w:tcMar>
              <w:right w:w="80" w:type="dxa"/>
            </w:tcMar>
          </w:tcPr>
          <w:p w14:paraId="5E79E65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(29)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586AAFE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Praksisen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Den europeiske menneskerettsdomstolen – EMD – om avveginga mellom retten til privatliv etter </w:t>
            </w:r>
            <w:hyperlink r:id="rId55" w:anchor="reference/lov/1999-05-21-30/emkn/a8" w:history="1">
              <w:r>
                <w:rPr>
                  <w:sz w:val="22"/>
                </w:rPr>
                <w:t>EMK artikkel 8</w:t>
              </w:r>
            </w:hyperlink>
            <w:r>
              <w:rPr>
                <w:sz w:val="22"/>
              </w:rPr>
              <w:t xml:space="preserve"> og vernet om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etter </w:t>
            </w:r>
            <w:hyperlink r:id="rId56" w:anchor="reference/lov/1999-05-21-30/emkn/a10" w:history="1">
              <w:r>
                <w:rPr>
                  <w:sz w:val="22"/>
                </w:rPr>
                <w:t>EMK artikkel 10</w:t>
              </w:r>
            </w:hyperlink>
            <w:r>
              <w:rPr>
                <w:sz w:val="22"/>
              </w:rPr>
              <w:t xml:space="preserve"> er i </w:t>
            </w:r>
            <w:proofErr w:type="spellStart"/>
            <w:r>
              <w:rPr>
                <w:sz w:val="22"/>
              </w:rPr>
              <w:t>hovudsak</w:t>
            </w:r>
            <w:proofErr w:type="spellEnd"/>
            <w:r>
              <w:rPr>
                <w:sz w:val="22"/>
              </w:rPr>
              <w:t xml:space="preserve"> knytt til om pressa har gått for langt i å </w:t>
            </w:r>
            <w:proofErr w:type="spellStart"/>
            <w:r>
              <w:rPr>
                <w:sz w:val="22"/>
              </w:rPr>
              <w:t>omtala</w:t>
            </w:r>
            <w:proofErr w:type="spellEnd"/>
            <w:r>
              <w:rPr>
                <w:sz w:val="22"/>
              </w:rPr>
              <w:t xml:space="preserve"> private forhold som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har </w:t>
            </w:r>
            <w:proofErr w:type="spellStart"/>
            <w:r>
              <w:rPr>
                <w:sz w:val="22"/>
              </w:rPr>
              <w:t>ålmenn</w:t>
            </w:r>
            <w:proofErr w:type="spellEnd"/>
            <w:r>
              <w:rPr>
                <w:sz w:val="22"/>
              </w:rPr>
              <w:t xml:space="preserve"> interesse. I </w:t>
            </w:r>
            <w:proofErr w:type="spellStart"/>
            <w:r>
              <w:rPr>
                <w:sz w:val="22"/>
              </w:rPr>
              <w:t>EMDs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storkammerdom</w:t>
            </w:r>
            <w:proofErr w:type="spellEnd"/>
            <w:r>
              <w:rPr>
                <w:sz w:val="22"/>
              </w:rPr>
              <w:t xml:space="preserve"> 7. februar 2012 </w:t>
            </w:r>
            <w:r>
              <w:rPr>
                <w:i/>
                <w:sz w:val="22"/>
              </w:rPr>
              <w:t>Axel Springer AG mot Ty</w:t>
            </w:r>
            <w:r>
              <w:rPr>
                <w:i/>
                <w:sz w:val="22"/>
              </w:rPr>
              <w:t>skland</w:t>
            </w:r>
            <w:r>
              <w:rPr>
                <w:sz w:val="22"/>
              </w:rPr>
              <w:t xml:space="preserve"> [</w:t>
            </w:r>
            <w:hyperlink r:id="rId57" w:anchor="reference/avgjorelse/emd-2008-39954" w:history="1">
              <w:r>
                <w:rPr>
                  <w:sz w:val="22"/>
                </w:rPr>
                <w:t>EMD-2008-39954</w:t>
              </w:r>
            </w:hyperlink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er </w:t>
            </w:r>
            <w:proofErr w:type="spellStart"/>
            <w:r>
              <w:rPr>
                <w:sz w:val="22"/>
              </w:rPr>
              <w:t>dei</w:t>
            </w:r>
            <w:proofErr w:type="spellEnd"/>
            <w:r>
              <w:rPr>
                <w:sz w:val="22"/>
              </w:rPr>
              <w:t xml:space="preserve"> relevante momenta i avveginga oppsummerte i avsnitta 89 til 95:</w:t>
            </w:r>
          </w:p>
          <w:p w14:paraId="1A5A90C4" w14:textId="77777777" w:rsidR="00A4564E" w:rsidRDefault="00B9717A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Contribution</w:t>
            </w:r>
            <w:proofErr w:type="spellEnd"/>
            <w:r>
              <w:rPr>
                <w:sz w:val="22"/>
              </w:rPr>
              <w:t xml:space="preserve"> to a </w:t>
            </w:r>
            <w:proofErr w:type="spellStart"/>
            <w:r>
              <w:rPr>
                <w:sz w:val="22"/>
              </w:rPr>
              <w:t>debate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general </w:t>
            </w:r>
            <w:proofErr w:type="spellStart"/>
            <w:r>
              <w:rPr>
                <w:sz w:val="22"/>
              </w:rPr>
              <w:t>interest</w:t>
            </w:r>
            <w:proofErr w:type="spellEnd"/>
            <w:r>
              <w:rPr>
                <w:sz w:val="22"/>
              </w:rPr>
              <w:t xml:space="preserve"> ... How </w:t>
            </w:r>
            <w:proofErr w:type="spellStart"/>
            <w:r>
              <w:rPr>
                <w:sz w:val="22"/>
              </w:rPr>
              <w:t>well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known</w:t>
            </w:r>
            <w:proofErr w:type="spellEnd"/>
            <w:r>
              <w:rPr>
                <w:sz w:val="22"/>
              </w:rPr>
              <w:t xml:space="preserve"> is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perso</w:t>
            </w:r>
            <w:r>
              <w:rPr>
                <w:sz w:val="22"/>
              </w:rPr>
              <w:t xml:space="preserve">n </w:t>
            </w:r>
            <w:proofErr w:type="spellStart"/>
            <w:r>
              <w:rPr>
                <w:sz w:val="22"/>
              </w:rPr>
              <w:t>concerned</w:t>
            </w:r>
            <w:proofErr w:type="spellEnd"/>
            <w:r>
              <w:rPr>
                <w:sz w:val="22"/>
              </w:rPr>
              <w:t xml:space="preserve"> and </w:t>
            </w:r>
            <w:proofErr w:type="spellStart"/>
            <w:r>
              <w:rPr>
                <w:sz w:val="22"/>
              </w:rPr>
              <w:t>what</w:t>
            </w:r>
            <w:proofErr w:type="spellEnd"/>
            <w:r>
              <w:rPr>
                <w:sz w:val="22"/>
              </w:rPr>
              <w:t xml:space="preserve"> is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subject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report? ... Prior </w:t>
            </w:r>
            <w:proofErr w:type="spellStart"/>
            <w:r>
              <w:rPr>
                <w:sz w:val="22"/>
              </w:rPr>
              <w:t>conduct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person </w:t>
            </w:r>
            <w:proofErr w:type="spellStart"/>
            <w:r>
              <w:rPr>
                <w:sz w:val="22"/>
              </w:rPr>
              <w:t>concerned</w:t>
            </w:r>
            <w:proofErr w:type="spellEnd"/>
            <w:r>
              <w:rPr>
                <w:sz w:val="22"/>
              </w:rPr>
              <w:t xml:space="preserve"> ... Method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obtaining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information</w:t>
            </w:r>
            <w:proofErr w:type="spellEnd"/>
            <w:r>
              <w:rPr>
                <w:sz w:val="22"/>
              </w:rPr>
              <w:t xml:space="preserve"> and </w:t>
            </w:r>
            <w:proofErr w:type="spellStart"/>
            <w:r>
              <w:rPr>
                <w:sz w:val="22"/>
              </w:rPr>
              <w:t>its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veracity</w:t>
            </w:r>
            <w:proofErr w:type="spellEnd"/>
            <w:r>
              <w:rPr>
                <w:sz w:val="22"/>
              </w:rPr>
              <w:t xml:space="preserve"> ... Content, form and </w:t>
            </w:r>
            <w:proofErr w:type="spellStart"/>
            <w:r>
              <w:rPr>
                <w:sz w:val="22"/>
              </w:rPr>
              <w:t>consequences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publication</w:t>
            </w:r>
            <w:proofErr w:type="spellEnd"/>
            <w:r>
              <w:rPr>
                <w:sz w:val="22"/>
              </w:rPr>
              <w:t xml:space="preserve"> ... </w:t>
            </w:r>
            <w:proofErr w:type="spellStart"/>
            <w:r>
              <w:rPr>
                <w:sz w:val="22"/>
              </w:rPr>
              <w:t>Severity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sanction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imposed</w:t>
            </w:r>
            <w:proofErr w:type="spellEnd"/>
            <w:r>
              <w:rPr>
                <w:sz w:val="22"/>
              </w:rPr>
              <w:t>»</w:t>
            </w:r>
          </w:p>
        </w:tc>
      </w:tr>
    </w:tbl>
    <w:p w14:paraId="38551E8D" w14:textId="77777777" w:rsidR="00A4564E" w:rsidRDefault="00A4564E">
      <w:pPr>
        <w:rPr>
          <w:sz w:val="6"/>
        </w:rPr>
      </w:pPr>
    </w:p>
    <w:p w14:paraId="3481E628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74"/>
      </w:tblGrid>
      <w:tr w:rsidR="00A4564E" w14:paraId="01A46230" w14:textId="77777777">
        <w:tc>
          <w:tcPr>
            <w:tcW w:w="720" w:type="dxa"/>
            <w:noWrap/>
            <w:tcMar>
              <w:right w:w="80" w:type="dxa"/>
            </w:tcMar>
          </w:tcPr>
          <w:p w14:paraId="76676BB0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(30)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89B3300" w14:textId="77777777" w:rsidR="00A4564E" w:rsidRDefault="00B9717A">
            <w:pPr>
              <w:rPr>
                <w:sz w:val="6"/>
              </w:rPr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EMDs</w:t>
            </w:r>
            <w:proofErr w:type="spellEnd"/>
            <w:r>
              <w:rPr>
                <w:sz w:val="22"/>
              </w:rPr>
              <w:t xml:space="preserve"> dom 19. juni 2012 </w:t>
            </w:r>
            <w:r>
              <w:rPr>
                <w:i/>
                <w:sz w:val="22"/>
              </w:rPr>
              <w:t xml:space="preserve">Krone </w:t>
            </w:r>
            <w:proofErr w:type="spellStart"/>
            <w:r>
              <w:rPr>
                <w:i/>
                <w:sz w:val="22"/>
              </w:rPr>
              <w:t>Verlag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GmbH</w:t>
            </w:r>
            <w:proofErr w:type="spellEnd"/>
            <w:r>
              <w:rPr>
                <w:i/>
                <w:sz w:val="22"/>
              </w:rPr>
              <w:t xml:space="preserve"> mot Austerrike</w:t>
            </w:r>
            <w:r>
              <w:rPr>
                <w:sz w:val="22"/>
              </w:rPr>
              <w:t xml:space="preserve"> [</w:t>
            </w:r>
            <w:hyperlink r:id="rId58" w:anchor="reference/avgjorelse/emd-2007-27306" w:history="1">
              <w:r>
                <w:rPr>
                  <w:sz w:val="22"/>
                </w:rPr>
                <w:t>EMD-2007-27306</w:t>
              </w:r>
            </w:hyperlink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var spørsmålet om det låg </w:t>
            </w:r>
            <w:proofErr w:type="spellStart"/>
            <w:r>
              <w:rPr>
                <w:sz w:val="22"/>
              </w:rPr>
              <w:t>innanfor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å identifisere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gut med </w:t>
            </w:r>
            <w:proofErr w:type="spellStart"/>
            <w:r>
              <w:rPr>
                <w:sz w:val="22"/>
              </w:rPr>
              <w:t>namn</w:t>
            </w:r>
            <w:proofErr w:type="spellEnd"/>
            <w:r>
              <w:rPr>
                <w:sz w:val="22"/>
              </w:rPr>
              <w:t xml:space="preserve"> og </w:t>
            </w:r>
            <w:proofErr w:type="spellStart"/>
            <w:r>
              <w:rPr>
                <w:sz w:val="22"/>
              </w:rPr>
              <w:t>bilete</w:t>
            </w:r>
            <w:proofErr w:type="spellEnd"/>
            <w:r>
              <w:rPr>
                <w:sz w:val="22"/>
              </w:rPr>
              <w:t>. Mor og fa</w:t>
            </w:r>
            <w:r>
              <w:rPr>
                <w:sz w:val="22"/>
              </w:rPr>
              <w:t xml:space="preserve">r hans tvista om foreldreretten, og spørsmålet om bruk av makt ved fullbyrding av avgjerder hadde ut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saka fått ei viss </w:t>
            </w:r>
            <w:proofErr w:type="spellStart"/>
            <w:r>
              <w:rPr>
                <w:sz w:val="22"/>
              </w:rPr>
              <w:t>mediemerksemd</w:t>
            </w:r>
            <w:proofErr w:type="spellEnd"/>
            <w:r>
              <w:rPr>
                <w:sz w:val="22"/>
              </w:rPr>
              <w:t xml:space="preserve">. Etter å ha vist til at retten til privatliv etter </w:t>
            </w:r>
            <w:hyperlink r:id="rId59" w:anchor="reference/lov/1999-05-21-30/emkn/a8" w:history="1">
              <w:r>
                <w:rPr>
                  <w:sz w:val="22"/>
                </w:rPr>
                <w:t>EMK artikkel 8</w:t>
              </w:r>
            </w:hyperlink>
            <w:r>
              <w:rPr>
                <w:sz w:val="22"/>
              </w:rPr>
              <w:t xml:space="preserve"> må </w:t>
            </w:r>
            <w:proofErr w:type="spellStart"/>
            <w:r>
              <w:rPr>
                <w:sz w:val="22"/>
              </w:rPr>
              <w:t>vurderast</w:t>
            </w:r>
            <w:proofErr w:type="spellEnd"/>
            <w:r>
              <w:rPr>
                <w:sz w:val="22"/>
              </w:rPr>
              <w:t xml:space="preserve"> konkret opp mot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etter </w:t>
            </w:r>
            <w:hyperlink r:id="rId60" w:anchor="reference/lov/1999-05-21-30/emkn/a10" w:history="1">
              <w:r>
                <w:rPr>
                  <w:sz w:val="22"/>
                </w:rPr>
                <w:t>EMK artikkel 10</w:t>
              </w:r>
            </w:hyperlink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uttala</w:t>
            </w:r>
            <w:proofErr w:type="spellEnd"/>
            <w:r>
              <w:rPr>
                <w:sz w:val="22"/>
              </w:rPr>
              <w:t xml:space="preserve"> EMD: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0D34204B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75006EC6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«54.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2CA691CD" w14:textId="77777777" w:rsidR="00A4564E" w:rsidRDefault="00B9717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In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present case, Christian is not a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figure</w:t>
                  </w:r>
                  <w:proofErr w:type="spellEnd"/>
                  <w:r>
                    <w:rPr>
                      <w:sz w:val="22"/>
                    </w:rPr>
                    <w:t xml:space="preserve">, nor </w:t>
                  </w:r>
                  <w:proofErr w:type="spellStart"/>
                  <w:r>
                    <w:rPr>
                      <w:sz w:val="22"/>
                    </w:rPr>
                    <w:t>does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Court </w:t>
                  </w:r>
                  <w:proofErr w:type="spellStart"/>
                  <w:r>
                    <w:rPr>
                      <w:sz w:val="22"/>
                    </w:rPr>
                    <w:t>consider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he</w:t>
                  </w:r>
                  <w:proofErr w:type="spellEnd"/>
                  <w:r>
                    <w:rPr>
                      <w:sz w:val="22"/>
                    </w:rPr>
                    <w:t xml:space="preserve"> has </w:t>
                  </w:r>
                  <w:proofErr w:type="spellStart"/>
                  <w:r>
                    <w:rPr>
                      <w:sz w:val="22"/>
                    </w:rPr>
                    <w:t>entered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scene by </w:t>
                  </w:r>
                  <w:proofErr w:type="spellStart"/>
                  <w:r>
                    <w:rPr>
                      <w:sz w:val="22"/>
                    </w:rPr>
                    <w:t>becoming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victim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custody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dispute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between</w:t>
                  </w:r>
                  <w:proofErr w:type="spellEnd"/>
                  <w:r>
                    <w:rPr>
                      <w:sz w:val="22"/>
                    </w:rPr>
                    <w:t xml:space="preserve"> his </w:t>
                  </w:r>
                  <w:proofErr w:type="spellStart"/>
                  <w:r>
                    <w:rPr>
                      <w:sz w:val="22"/>
                    </w:rPr>
                    <w:t>parents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which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attracted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considerable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attention</w:t>
                  </w:r>
                  <w:proofErr w:type="spellEnd"/>
                  <w:r>
                    <w:rPr>
                      <w:sz w:val="22"/>
                    </w:rPr>
                    <w:t>.</w:t>
                  </w:r>
                </w:p>
              </w:tc>
            </w:tr>
          </w:tbl>
          <w:p w14:paraId="23C7A747" w14:textId="77777777" w:rsidR="00A4564E" w:rsidRDefault="00A4564E">
            <w:pPr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4758E43F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3D6913F4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55.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032F4439" w14:textId="77777777" w:rsidR="00A4564E" w:rsidRDefault="00B9717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The Court </w:t>
                  </w:r>
                  <w:proofErr w:type="spellStart"/>
                  <w:r>
                    <w:rPr>
                      <w:sz w:val="22"/>
                    </w:rPr>
                    <w:t>further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considers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articles</w:t>
                  </w:r>
                  <w:proofErr w:type="spellEnd"/>
                  <w:r>
                    <w:rPr>
                      <w:sz w:val="22"/>
                    </w:rPr>
                    <w:t xml:space="preserve"> at </w:t>
                  </w:r>
                  <w:proofErr w:type="spellStart"/>
                  <w:r>
                    <w:rPr>
                      <w:sz w:val="22"/>
                    </w:rPr>
                    <w:t>issue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dealt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with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a matter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concern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namely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appropriate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enforcement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custody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decisions</w:t>
                  </w:r>
                  <w:proofErr w:type="spellEnd"/>
                  <w:r>
                    <w:rPr>
                      <w:sz w:val="22"/>
                    </w:rPr>
                    <w:t xml:space="preserve"> and </w:t>
                  </w:r>
                  <w:proofErr w:type="spellStart"/>
                  <w:r>
                    <w:rPr>
                      <w:sz w:val="22"/>
                    </w:rPr>
                    <w:t>whether</w:t>
                  </w:r>
                  <w:proofErr w:type="spellEnd"/>
                  <w:r>
                    <w:rPr>
                      <w:sz w:val="22"/>
                    </w:rPr>
                    <w:t xml:space="preserve"> and to </w:t>
                  </w:r>
                  <w:proofErr w:type="spellStart"/>
                  <w:r>
                    <w:rPr>
                      <w:sz w:val="22"/>
                    </w:rPr>
                    <w:t>what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extent</w:t>
                  </w:r>
                  <w:proofErr w:type="spellEnd"/>
                  <w:r>
                    <w:rPr>
                      <w:sz w:val="22"/>
                    </w:rPr>
                    <w:t xml:space="preserve"> force </w:t>
                  </w:r>
                  <w:proofErr w:type="spellStart"/>
                  <w:r>
                    <w:rPr>
                      <w:sz w:val="22"/>
                    </w:rPr>
                    <w:t>may</w:t>
                  </w:r>
                  <w:proofErr w:type="spellEnd"/>
                  <w:r>
                    <w:rPr>
                      <w:sz w:val="22"/>
                    </w:rPr>
                    <w:t xml:space="preserve"> or </w:t>
                  </w:r>
                  <w:proofErr w:type="spellStart"/>
                  <w:r>
                    <w:rPr>
                      <w:sz w:val="22"/>
                    </w:rPr>
                    <w:t>should</w:t>
                  </w:r>
                  <w:proofErr w:type="spellEnd"/>
                  <w:r>
                    <w:rPr>
                      <w:sz w:val="22"/>
                    </w:rPr>
                    <w:t xml:space="preserve"> be used in </w:t>
                  </w:r>
                  <w:proofErr w:type="spellStart"/>
                  <w:r>
                    <w:rPr>
                      <w:sz w:val="22"/>
                    </w:rPr>
                    <w:t>this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context</w:t>
                  </w:r>
                  <w:proofErr w:type="spellEnd"/>
                  <w:r>
                    <w:rPr>
                      <w:sz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</w:rPr>
                    <w:t>Such</w:t>
                  </w:r>
                  <w:proofErr w:type="spellEnd"/>
                  <w:r>
                    <w:rPr>
                      <w:sz w:val="22"/>
                    </w:rPr>
                    <w:t xml:space="preserve"> a matter </w:t>
                  </w:r>
                  <w:proofErr w:type="spellStart"/>
                  <w:r>
                    <w:rPr>
                      <w:sz w:val="22"/>
                    </w:rPr>
                    <w:t>could</w:t>
                  </w:r>
                  <w:proofErr w:type="spellEnd"/>
                  <w:r>
                    <w:rPr>
                      <w:sz w:val="22"/>
                    </w:rPr>
                    <w:t xml:space="preserve">, and in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present case </w:t>
                  </w:r>
                  <w:proofErr w:type="spellStart"/>
                  <w:r>
                    <w:rPr>
                      <w:sz w:val="22"/>
                    </w:rPr>
                    <w:t>did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give</w:t>
                  </w:r>
                  <w:proofErr w:type="spellEnd"/>
                  <w:r>
                    <w:rPr>
                      <w:sz w:val="22"/>
                    </w:rPr>
                    <w:t xml:space="preserve"> rise to a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debate</w:t>
                  </w:r>
                  <w:proofErr w:type="spellEnd"/>
                  <w:r>
                    <w:rPr>
                      <w:sz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</w:rPr>
                    <w:t>However</w:t>
                  </w:r>
                  <w:proofErr w:type="spellEnd"/>
                  <w:r>
                    <w:rPr>
                      <w:sz w:val="22"/>
                    </w:rPr>
                    <w:t xml:space="preserve">, given </w:t>
                  </w:r>
                  <w:proofErr w:type="spellStart"/>
                  <w:r>
                    <w:rPr>
                      <w:sz w:val="22"/>
                    </w:rPr>
                    <w:t>t</w:t>
                  </w:r>
                  <w:r>
                    <w:rPr>
                      <w:sz w:val="22"/>
                    </w:rPr>
                    <w:t>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neither</w:t>
                  </w:r>
                  <w:proofErr w:type="spellEnd"/>
                  <w:r>
                    <w:rPr>
                      <w:sz w:val="22"/>
                    </w:rPr>
                    <w:t xml:space="preserve"> Christian </w:t>
                  </w:r>
                  <w:proofErr w:type="spellStart"/>
                  <w:r>
                    <w:rPr>
                      <w:sz w:val="22"/>
                    </w:rPr>
                    <w:t>himself</w:t>
                  </w:r>
                  <w:proofErr w:type="spellEnd"/>
                  <w:r>
                    <w:rPr>
                      <w:sz w:val="22"/>
                    </w:rPr>
                    <w:t xml:space="preserve"> nor his </w:t>
                  </w:r>
                  <w:proofErr w:type="spellStart"/>
                  <w:r>
                    <w:rPr>
                      <w:sz w:val="22"/>
                    </w:rPr>
                    <w:t>parents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were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figures</w:t>
                  </w:r>
                  <w:proofErr w:type="spellEnd"/>
                  <w:r>
                    <w:rPr>
                      <w:sz w:val="22"/>
                    </w:rPr>
                    <w:t xml:space="preserve"> or </w:t>
                  </w:r>
                  <w:proofErr w:type="spellStart"/>
                  <w:r>
                    <w:rPr>
                      <w:sz w:val="22"/>
                    </w:rPr>
                    <w:t>had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previously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entered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sphere</w:t>
                  </w:r>
                  <w:proofErr w:type="spellEnd"/>
                  <w:r>
                    <w:rPr>
                      <w:sz w:val="22"/>
                    </w:rPr>
                    <w:t xml:space="preserve">, it </w:t>
                  </w:r>
                  <w:proofErr w:type="spellStart"/>
                  <w:r>
                    <w:rPr>
                      <w:sz w:val="22"/>
                    </w:rPr>
                    <w:t>cannot</w:t>
                  </w:r>
                  <w:proofErr w:type="spellEnd"/>
                  <w:r>
                    <w:rPr>
                      <w:sz w:val="22"/>
                    </w:rPr>
                    <w:t xml:space="preserve"> be </w:t>
                  </w:r>
                  <w:proofErr w:type="spellStart"/>
                  <w:r>
                    <w:rPr>
                      <w:sz w:val="22"/>
                    </w:rPr>
                    <w:t>considered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disclosure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his </w:t>
                  </w:r>
                  <w:proofErr w:type="spellStart"/>
                  <w:r>
                    <w:rPr>
                      <w:sz w:val="22"/>
                    </w:rPr>
                    <w:t>identity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essential</w:t>
                  </w:r>
                  <w:proofErr w:type="spellEnd"/>
                  <w:r>
                    <w:rPr>
                      <w:sz w:val="22"/>
                    </w:rPr>
                    <w:t xml:space="preserve"> for </w:t>
                  </w:r>
                  <w:proofErr w:type="spellStart"/>
                  <w:r>
                    <w:rPr>
                      <w:sz w:val="22"/>
                    </w:rPr>
                    <w:t>understanding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particulars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case (</w:t>
                  </w:r>
                  <w:proofErr w:type="spellStart"/>
                  <w:r>
                    <w:rPr>
                      <w:sz w:val="22"/>
                    </w:rPr>
                    <w:t>see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'</w:t>
                  </w:r>
                  <w:proofErr w:type="spellStart"/>
                  <w:r>
                    <w:rPr>
                      <w:i/>
                      <w:sz w:val="22"/>
                    </w:rPr>
                    <w:t>Wirtschafts</w:t>
                  </w:r>
                  <w:proofErr w:type="spellEnd"/>
                  <w:r>
                    <w:rPr>
                      <w:i/>
                      <w:sz w:val="22"/>
                    </w:rPr>
                    <w:t xml:space="preserve">-Trend' </w:t>
                  </w:r>
                  <w:proofErr w:type="spellStart"/>
                  <w:r>
                    <w:rPr>
                      <w:i/>
                      <w:sz w:val="22"/>
                    </w:rPr>
                    <w:t>Zeitschriften-Verlagsgesellschaft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2"/>
                    </w:rPr>
                    <w:t>mbH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(no. 2) v. </w:t>
                  </w:r>
                  <w:proofErr w:type="spellStart"/>
                  <w:r>
                    <w:rPr>
                      <w:i/>
                      <w:sz w:val="22"/>
                    </w:rPr>
                    <w:t>Austria</w:t>
                  </w:r>
                  <w:proofErr w:type="spellEnd"/>
                  <w:r>
                    <w:rPr>
                      <w:sz w:val="22"/>
                    </w:rPr>
                    <w:t>(</w:t>
                  </w:r>
                  <w:proofErr w:type="spellStart"/>
                  <w:r>
                    <w:rPr>
                      <w:sz w:val="22"/>
                    </w:rPr>
                    <w:t>dec</w:t>
                  </w:r>
                  <w:proofErr w:type="spellEnd"/>
                  <w:r>
                    <w:rPr>
                      <w:sz w:val="22"/>
                    </w:rPr>
                    <w:t xml:space="preserve">.), no. </w:t>
                  </w:r>
                  <w:hyperlink r:id="rId61" w:anchor="reference/avgjorelse/emd-2000-62746" w:history="1">
                    <w:r>
                      <w:rPr>
                        <w:sz w:val="22"/>
                      </w:rPr>
                      <w:t>62746/00</w:t>
                    </w:r>
                  </w:hyperlink>
                  <w:r>
                    <w:rPr>
                      <w:sz w:val="22"/>
                    </w:rPr>
                    <w:t xml:space="preserve">, 14 November 2002). In </w:t>
                  </w:r>
                  <w:proofErr w:type="spellStart"/>
                  <w:r>
                    <w:rPr>
                      <w:sz w:val="22"/>
                    </w:rPr>
                    <w:t>this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connection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Court notes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it </w:t>
                  </w:r>
                  <w:proofErr w:type="spellStart"/>
                  <w:r>
                    <w:rPr>
                      <w:sz w:val="22"/>
                    </w:rPr>
                    <w:t>was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acceptable</w:t>
                  </w:r>
                  <w:proofErr w:type="spellEnd"/>
                  <w:r>
                    <w:rPr>
                      <w:sz w:val="22"/>
                    </w:rPr>
                    <w:t xml:space="preserve"> for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applicant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company</w:t>
                  </w:r>
                  <w:proofErr w:type="spellEnd"/>
                  <w:r>
                    <w:rPr>
                      <w:sz w:val="22"/>
                    </w:rPr>
                    <w:t xml:space="preserve"> to report </w:t>
                  </w:r>
                  <w:proofErr w:type="spellStart"/>
                  <w:r>
                    <w:rPr>
                      <w:sz w:val="22"/>
                    </w:rPr>
                    <w:t>on</w:t>
                  </w:r>
                  <w:proofErr w:type="spellEnd"/>
                  <w:r>
                    <w:rPr>
                      <w:sz w:val="22"/>
                    </w:rPr>
                    <w:t xml:space="preserve"> all relevant </w:t>
                  </w:r>
                  <w:proofErr w:type="spellStart"/>
                  <w:r>
                    <w:rPr>
                      <w:sz w:val="22"/>
                    </w:rPr>
                    <w:t>details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concerning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case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Christian, in </w:t>
                  </w:r>
                  <w:proofErr w:type="spellStart"/>
                  <w:r>
                    <w:rPr>
                      <w:sz w:val="22"/>
                    </w:rPr>
                    <w:t>particular</w:t>
                  </w:r>
                  <w:proofErr w:type="spellEnd"/>
                  <w:r>
                    <w:rPr>
                      <w:sz w:val="22"/>
                    </w:rPr>
                    <w:t xml:space="preserve"> as </w:t>
                  </w:r>
                  <w:proofErr w:type="spellStart"/>
                  <w:r>
                    <w:rPr>
                      <w:sz w:val="22"/>
                    </w:rPr>
                    <w:t>regards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problematic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attempt</w:t>
                  </w:r>
                  <w:proofErr w:type="spellEnd"/>
                  <w:r>
                    <w:rPr>
                      <w:sz w:val="22"/>
                    </w:rPr>
                    <w:t xml:space="preserve"> to </w:t>
                  </w:r>
                  <w:proofErr w:type="spellStart"/>
                  <w:r>
                    <w:rPr>
                      <w:sz w:val="22"/>
                    </w:rPr>
                    <w:t>enforce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decision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taken</w:t>
                  </w:r>
                  <w:proofErr w:type="spellEnd"/>
                  <w:r>
                    <w:rPr>
                      <w:sz w:val="22"/>
                    </w:rPr>
                    <w:t xml:space="preserve"> in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custody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proceedings</w:t>
                  </w:r>
                  <w:proofErr w:type="spellEnd"/>
                  <w:r>
                    <w:rPr>
                      <w:sz w:val="22"/>
                    </w:rPr>
                    <w:t xml:space="preserve"> by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court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officers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on</w:t>
                  </w:r>
                  <w:proofErr w:type="spellEnd"/>
                  <w:r>
                    <w:rPr>
                      <w:sz w:val="22"/>
                    </w:rPr>
                    <w:t xml:space="preserve"> 26 </w:t>
                  </w:r>
                  <w:proofErr w:type="spellStart"/>
                  <w:r>
                    <w:rPr>
                      <w:sz w:val="22"/>
                    </w:rPr>
                    <w:t>January</w:t>
                  </w:r>
                  <w:proofErr w:type="spellEnd"/>
                  <w:r>
                    <w:rPr>
                      <w:sz w:val="22"/>
                    </w:rPr>
                    <w:t xml:space="preserve"> 2004, </w:t>
                  </w:r>
                  <w:proofErr w:type="spellStart"/>
                  <w:r>
                    <w:rPr>
                      <w:sz w:val="22"/>
                    </w:rPr>
                    <w:t>but</w:t>
                  </w:r>
                  <w:proofErr w:type="spellEnd"/>
                  <w:r>
                    <w:rPr>
                      <w:sz w:val="22"/>
                    </w:rPr>
                    <w:t xml:space="preserve"> not to reveal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identity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Christian </w:t>
                  </w:r>
                  <w:proofErr w:type="spellStart"/>
                  <w:r>
                    <w:rPr>
                      <w:sz w:val="22"/>
                    </w:rPr>
                    <w:t>while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publishing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most </w:t>
                  </w:r>
                  <w:proofErr w:type="spellStart"/>
                  <w:r>
                    <w:rPr>
                      <w:sz w:val="22"/>
                    </w:rPr>
                    <w:t>intimate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details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about</w:t>
                  </w:r>
                  <w:proofErr w:type="spellEnd"/>
                  <w:r>
                    <w:rPr>
                      <w:sz w:val="22"/>
                    </w:rPr>
                    <w:t xml:space="preserve"> him, or </w:t>
                  </w:r>
                  <w:proofErr w:type="spellStart"/>
                  <w:r>
                    <w:rPr>
                      <w:sz w:val="22"/>
                    </w:rPr>
                    <w:t>publish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picture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him from </w:t>
                  </w:r>
                  <w:proofErr w:type="spellStart"/>
                  <w:r>
                    <w:rPr>
                      <w:sz w:val="22"/>
                    </w:rPr>
                    <w:t>which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could</w:t>
                  </w:r>
                  <w:proofErr w:type="spellEnd"/>
                  <w:r>
                    <w:rPr>
                      <w:sz w:val="22"/>
                    </w:rPr>
                    <w:t xml:space="preserve"> be </w:t>
                  </w:r>
                  <w:proofErr w:type="spellStart"/>
                  <w:r>
                    <w:rPr>
                      <w:sz w:val="22"/>
                    </w:rPr>
                    <w:t>recognised</w:t>
                  </w:r>
                  <w:proofErr w:type="spellEnd"/>
                  <w:r>
                    <w:rPr>
                      <w:sz w:val="22"/>
                    </w:rPr>
                    <w:t>.</w:t>
                  </w:r>
                </w:p>
              </w:tc>
            </w:tr>
          </w:tbl>
          <w:p w14:paraId="38391ECE" w14:textId="77777777" w:rsidR="00A4564E" w:rsidRDefault="00A4564E">
            <w:pPr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5C5771DF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025F8E1F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56.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26DBE11A" w14:textId="77777777" w:rsidR="00A4564E" w:rsidRDefault="00B9717A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Moreover</w:t>
                  </w:r>
                  <w:proofErr w:type="spellEnd"/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Court is not </w:t>
                  </w:r>
                  <w:proofErr w:type="spellStart"/>
                  <w:r>
                    <w:rPr>
                      <w:sz w:val="22"/>
                    </w:rPr>
                    <w:t>persuaded</w:t>
                  </w:r>
                  <w:proofErr w:type="spellEnd"/>
                  <w:r>
                    <w:rPr>
                      <w:sz w:val="22"/>
                    </w:rPr>
                    <w:t xml:space="preserve"> by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applicant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company's</w:t>
                  </w:r>
                  <w:proofErr w:type="spellEnd"/>
                  <w:r>
                    <w:rPr>
                      <w:sz w:val="22"/>
                    </w:rPr>
                    <w:t xml:space="preserve"> argument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publication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photograph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which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sh</w:t>
                  </w:r>
                  <w:r>
                    <w:rPr>
                      <w:sz w:val="22"/>
                    </w:rPr>
                    <w:t>owed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pain</w:t>
                  </w:r>
                  <w:proofErr w:type="spellEnd"/>
                  <w:r>
                    <w:rPr>
                      <w:sz w:val="22"/>
                    </w:rPr>
                    <w:t xml:space="preserve"> in </w:t>
                  </w:r>
                  <w:proofErr w:type="spellStart"/>
                  <w:r>
                    <w:rPr>
                      <w:sz w:val="22"/>
                    </w:rPr>
                    <w:t>Christian's</w:t>
                  </w:r>
                  <w:proofErr w:type="spellEnd"/>
                  <w:r>
                    <w:rPr>
                      <w:sz w:val="22"/>
                    </w:rPr>
                    <w:t xml:space="preserve"> face </w:t>
                  </w:r>
                  <w:proofErr w:type="spellStart"/>
                  <w:r>
                    <w:rPr>
                      <w:sz w:val="22"/>
                    </w:rPr>
                    <w:t>was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necessary</w:t>
                  </w:r>
                  <w:proofErr w:type="spellEnd"/>
                  <w:r>
                    <w:rPr>
                      <w:sz w:val="22"/>
                    </w:rPr>
                    <w:t xml:space="preserve"> in order to </w:t>
                  </w:r>
                  <w:proofErr w:type="spellStart"/>
                  <w:r>
                    <w:rPr>
                      <w:sz w:val="22"/>
                    </w:rPr>
                    <w:t>ensure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credibility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story. In </w:t>
                  </w:r>
                  <w:proofErr w:type="spellStart"/>
                  <w:r>
                    <w:rPr>
                      <w:sz w:val="22"/>
                    </w:rPr>
                    <w:t>this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regard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Court </w:t>
                  </w:r>
                  <w:proofErr w:type="spellStart"/>
                  <w:r>
                    <w:rPr>
                      <w:sz w:val="22"/>
                    </w:rPr>
                    <w:t>reiterates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publication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photographs</w:t>
                  </w:r>
                  <w:proofErr w:type="spellEnd"/>
                  <w:r>
                    <w:rPr>
                      <w:sz w:val="22"/>
                    </w:rPr>
                    <w:t xml:space="preserve"> and </w:t>
                  </w:r>
                  <w:proofErr w:type="spellStart"/>
                  <w:r>
                    <w:rPr>
                      <w:sz w:val="22"/>
                    </w:rPr>
                    <w:t>articles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sole purpose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which</w:t>
                  </w:r>
                  <w:proofErr w:type="spellEnd"/>
                  <w:r>
                    <w:rPr>
                      <w:sz w:val="22"/>
                    </w:rPr>
                    <w:t xml:space="preserve"> is to </w:t>
                  </w:r>
                  <w:proofErr w:type="spellStart"/>
                  <w:r>
                    <w:rPr>
                      <w:sz w:val="22"/>
                    </w:rPr>
                    <w:t>satisfy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curiosity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particular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read</w:t>
                  </w:r>
                  <w:r>
                    <w:rPr>
                      <w:sz w:val="22"/>
                    </w:rPr>
                    <w:t>ership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regarding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details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figure's</w:t>
                  </w:r>
                  <w:proofErr w:type="spellEnd"/>
                  <w:r>
                    <w:rPr>
                      <w:sz w:val="22"/>
                    </w:rPr>
                    <w:t xml:space="preserve"> private </w:t>
                  </w:r>
                  <w:proofErr w:type="spellStart"/>
                  <w:r>
                    <w:rPr>
                      <w:sz w:val="22"/>
                    </w:rPr>
                    <w:t>life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cannot</w:t>
                  </w:r>
                  <w:proofErr w:type="spellEnd"/>
                  <w:r>
                    <w:rPr>
                      <w:sz w:val="22"/>
                    </w:rPr>
                    <w:t xml:space="preserve"> be </w:t>
                  </w:r>
                  <w:proofErr w:type="spellStart"/>
                  <w:r>
                    <w:rPr>
                      <w:sz w:val="22"/>
                    </w:rPr>
                    <w:t>deemed</w:t>
                  </w:r>
                  <w:proofErr w:type="spellEnd"/>
                  <w:r>
                    <w:rPr>
                      <w:sz w:val="22"/>
                    </w:rPr>
                    <w:t xml:space="preserve"> to </w:t>
                  </w:r>
                  <w:proofErr w:type="spellStart"/>
                  <w:r>
                    <w:rPr>
                      <w:sz w:val="22"/>
                    </w:rPr>
                    <w:t>contribute</w:t>
                  </w:r>
                  <w:proofErr w:type="spellEnd"/>
                  <w:r>
                    <w:rPr>
                      <w:sz w:val="22"/>
                    </w:rPr>
                    <w:t xml:space="preserve"> to </w:t>
                  </w:r>
                  <w:proofErr w:type="spellStart"/>
                  <w:r>
                    <w:rPr>
                      <w:sz w:val="22"/>
                    </w:rPr>
                    <w:t>any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debate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general </w:t>
                  </w:r>
                  <w:proofErr w:type="spellStart"/>
                  <w:r>
                    <w:rPr>
                      <w:sz w:val="22"/>
                    </w:rPr>
                    <w:t>interest</w:t>
                  </w:r>
                  <w:proofErr w:type="spellEnd"/>
                  <w:r>
                    <w:rPr>
                      <w:sz w:val="22"/>
                    </w:rPr>
                    <w:t xml:space="preserve"> to </w:t>
                  </w:r>
                  <w:proofErr w:type="spellStart"/>
                  <w:r>
                    <w:rPr>
                      <w:sz w:val="22"/>
                    </w:rPr>
                    <w:t>society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despite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person </w:t>
                  </w:r>
                  <w:proofErr w:type="spellStart"/>
                  <w:r>
                    <w:rPr>
                      <w:sz w:val="22"/>
                    </w:rPr>
                    <w:t>being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known</w:t>
                  </w:r>
                  <w:proofErr w:type="spellEnd"/>
                  <w:r>
                    <w:rPr>
                      <w:sz w:val="22"/>
                    </w:rPr>
                    <w:t xml:space="preserve"> to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. In </w:t>
                  </w:r>
                  <w:proofErr w:type="spellStart"/>
                  <w:r>
                    <w:rPr>
                      <w:sz w:val="22"/>
                    </w:rPr>
                    <w:t>such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conditions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freedom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expression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calls</w:t>
                  </w:r>
                  <w:proofErr w:type="spellEnd"/>
                  <w:r>
                    <w:rPr>
                      <w:sz w:val="22"/>
                    </w:rPr>
                    <w:t xml:space="preserve"> for a </w:t>
                  </w:r>
                  <w:proofErr w:type="spellStart"/>
                  <w:r>
                    <w:rPr>
                      <w:sz w:val="22"/>
                    </w:rPr>
                    <w:t>narrower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interpret</w:t>
                  </w:r>
                  <w:r>
                    <w:rPr>
                      <w:sz w:val="22"/>
                    </w:rPr>
                    <w:t>ation</w:t>
                  </w:r>
                  <w:proofErr w:type="spellEnd"/>
                  <w:r>
                    <w:rPr>
                      <w:sz w:val="22"/>
                    </w:rPr>
                    <w:t xml:space="preserve"> (</w:t>
                  </w:r>
                  <w:proofErr w:type="spellStart"/>
                  <w:r>
                    <w:rPr>
                      <w:sz w:val="22"/>
                    </w:rPr>
                    <w:t>see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MGN Limited</w:t>
                  </w:r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cited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above</w:t>
                  </w:r>
                  <w:proofErr w:type="spellEnd"/>
                  <w:r>
                    <w:rPr>
                      <w:sz w:val="22"/>
                    </w:rPr>
                    <w:t xml:space="preserve">, § 143, </w:t>
                  </w:r>
                  <w:proofErr w:type="spellStart"/>
                  <w:r>
                    <w:rPr>
                      <w:sz w:val="22"/>
                    </w:rPr>
                    <w:t>with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further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references</w:t>
                  </w:r>
                  <w:proofErr w:type="spellEnd"/>
                  <w:r>
                    <w:rPr>
                      <w:sz w:val="22"/>
                    </w:rPr>
                    <w:t xml:space="preserve">). The Court </w:t>
                  </w:r>
                  <w:proofErr w:type="spellStart"/>
                  <w:r>
                    <w:rPr>
                      <w:sz w:val="22"/>
                    </w:rPr>
                    <w:t>considers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such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considerations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also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apply</w:t>
                  </w:r>
                  <w:proofErr w:type="spellEnd"/>
                  <w:r>
                    <w:rPr>
                      <w:sz w:val="22"/>
                    </w:rPr>
                    <w:t xml:space="preserve"> to persons, like Christian, </w:t>
                  </w:r>
                  <w:proofErr w:type="spellStart"/>
                  <w:r>
                    <w:rPr>
                      <w:sz w:val="22"/>
                    </w:rPr>
                    <w:t>who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are</w:t>
                  </w:r>
                  <w:proofErr w:type="spellEnd"/>
                  <w:r>
                    <w:rPr>
                      <w:sz w:val="22"/>
                    </w:rPr>
                    <w:t xml:space="preserve"> not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figures</w:t>
                  </w:r>
                  <w:proofErr w:type="spellEnd"/>
                  <w:r>
                    <w:rPr>
                      <w:sz w:val="22"/>
                    </w:rPr>
                    <w:t>.</w:t>
                  </w:r>
                </w:p>
              </w:tc>
            </w:tr>
          </w:tbl>
          <w:p w14:paraId="21B8572C" w14:textId="77777777" w:rsidR="00A4564E" w:rsidRDefault="00A4564E">
            <w:pPr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402"/>
            </w:tblGrid>
            <w:tr w:rsidR="00A4564E" w14:paraId="17916342" w14:textId="77777777">
              <w:tc>
                <w:tcPr>
                  <w:tcW w:w="720" w:type="dxa"/>
                  <w:noWrap/>
                  <w:tcMar>
                    <w:right w:w="80" w:type="dxa"/>
                  </w:tcMar>
                </w:tcPr>
                <w:p w14:paraId="37F500B0" w14:textId="77777777" w:rsidR="00A4564E" w:rsidRDefault="00B9717A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57.</w:t>
                  </w:r>
                </w:p>
              </w:tc>
              <w:tc>
                <w:tcPr>
                  <w:tcW w:w="8786" w:type="dxa"/>
                  <w:noWrap/>
                  <w:tcMar>
                    <w:right w:w="80" w:type="dxa"/>
                  </w:tcMar>
                </w:tcPr>
                <w:p w14:paraId="4D282146" w14:textId="77777777" w:rsidR="00A4564E" w:rsidRDefault="00B9717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On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other</w:t>
                  </w:r>
                  <w:proofErr w:type="spellEnd"/>
                  <w:r>
                    <w:rPr>
                      <w:sz w:val="22"/>
                    </w:rPr>
                    <w:t xml:space="preserve"> hand, </w:t>
                  </w:r>
                  <w:proofErr w:type="spellStart"/>
                  <w:r>
                    <w:rPr>
                      <w:sz w:val="22"/>
                    </w:rPr>
                    <w:t>there</w:t>
                  </w:r>
                  <w:proofErr w:type="spellEnd"/>
                  <w:r>
                    <w:rPr>
                      <w:sz w:val="22"/>
                    </w:rPr>
                    <w:t xml:space="preserve"> is </w:t>
                  </w:r>
                  <w:proofErr w:type="spellStart"/>
                  <w:r>
                    <w:rPr>
                      <w:sz w:val="22"/>
                    </w:rPr>
                    <w:t>no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doubt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that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preservation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mo</w:t>
                  </w:r>
                  <w:r>
                    <w:rPr>
                      <w:sz w:val="22"/>
                    </w:rPr>
                    <w:t xml:space="preserve">st </w:t>
                  </w:r>
                  <w:proofErr w:type="spellStart"/>
                  <w:r>
                    <w:rPr>
                      <w:sz w:val="22"/>
                    </w:rPr>
                    <w:t>intimate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sphere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life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a juvenile </w:t>
                  </w:r>
                  <w:proofErr w:type="spellStart"/>
                  <w:r>
                    <w:rPr>
                      <w:sz w:val="22"/>
                    </w:rPr>
                    <w:t>who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had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become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victim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sz w:val="22"/>
                    </w:rPr>
                    <w:t>custody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dispute</w:t>
                  </w:r>
                  <w:proofErr w:type="spellEnd"/>
                  <w:r>
                    <w:rPr>
                      <w:sz w:val="22"/>
                    </w:rPr>
                    <w:t xml:space="preserve"> and </w:t>
                  </w:r>
                  <w:proofErr w:type="spellStart"/>
                  <w:r>
                    <w:rPr>
                      <w:sz w:val="22"/>
                    </w:rPr>
                    <w:t>had</w:t>
                  </w:r>
                  <w:proofErr w:type="spellEnd"/>
                  <w:r>
                    <w:rPr>
                      <w:sz w:val="22"/>
                    </w:rPr>
                    <w:t xml:space="preserve"> not </w:t>
                  </w:r>
                  <w:proofErr w:type="spellStart"/>
                  <w:r>
                    <w:rPr>
                      <w:sz w:val="22"/>
                    </w:rPr>
                    <w:t>himself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stepped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into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the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public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sphere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deserved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particular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protection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on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account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of</w:t>
                  </w:r>
                  <w:proofErr w:type="spellEnd"/>
                  <w:r>
                    <w:rPr>
                      <w:sz w:val="22"/>
                    </w:rPr>
                    <w:t xml:space="preserve"> his or her vulnerable </w:t>
                  </w:r>
                  <w:proofErr w:type="spellStart"/>
                  <w:r>
                    <w:rPr>
                      <w:sz w:val="22"/>
                    </w:rPr>
                    <w:t>position</w:t>
                  </w:r>
                  <w:proofErr w:type="spellEnd"/>
                  <w:r>
                    <w:rPr>
                      <w:sz w:val="22"/>
                    </w:rPr>
                    <w:t>.»</w:t>
                  </w:r>
                </w:p>
              </w:tc>
            </w:tr>
          </w:tbl>
          <w:p w14:paraId="3F9992E0" w14:textId="77777777" w:rsidR="00A4564E" w:rsidRDefault="00A4564E">
            <w:pPr>
              <w:rPr>
                <w:sz w:val="22"/>
              </w:rPr>
            </w:pPr>
          </w:p>
        </w:tc>
      </w:tr>
    </w:tbl>
    <w:p w14:paraId="1A577181" w14:textId="77777777" w:rsidR="00A4564E" w:rsidRDefault="00A4564E">
      <w:pPr>
        <w:rPr>
          <w:sz w:val="6"/>
        </w:rPr>
      </w:pPr>
    </w:p>
    <w:p w14:paraId="27AA1FD5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14D4F8F2" w14:textId="77777777">
        <w:tc>
          <w:tcPr>
            <w:tcW w:w="720" w:type="dxa"/>
            <w:noWrap/>
            <w:tcMar>
              <w:right w:w="80" w:type="dxa"/>
            </w:tcMar>
          </w:tcPr>
          <w:p w14:paraId="4493F5AC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(31)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B44AE05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Denne avgjerda har etter mitt syn overføringsverdi til vår sak når kriteria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Axel Springer</w:t>
            </w:r>
            <w:r>
              <w:rPr>
                <w:sz w:val="22"/>
              </w:rPr>
              <w:t xml:space="preserve">-dommen skal </w:t>
            </w:r>
            <w:proofErr w:type="spellStart"/>
            <w:r>
              <w:rPr>
                <w:sz w:val="22"/>
              </w:rPr>
              <w:t>nyttast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Sjølv</w:t>
            </w:r>
            <w:proofErr w:type="spellEnd"/>
            <w:r>
              <w:rPr>
                <w:sz w:val="22"/>
              </w:rPr>
              <w:t xml:space="preserve"> om det i </w:t>
            </w:r>
            <w:r>
              <w:rPr>
                <w:i/>
                <w:sz w:val="22"/>
              </w:rPr>
              <w:t xml:space="preserve">Krone </w:t>
            </w:r>
            <w:proofErr w:type="spellStart"/>
            <w:r>
              <w:rPr>
                <w:i/>
                <w:sz w:val="22"/>
              </w:rPr>
              <w:t>Verlag</w:t>
            </w:r>
            <w:proofErr w:type="spellEnd"/>
            <w:r>
              <w:rPr>
                <w:sz w:val="22"/>
              </w:rPr>
              <w:t xml:space="preserve">-dommen var tale om bruk av </w:t>
            </w:r>
            <w:proofErr w:type="spellStart"/>
            <w:r>
              <w:rPr>
                <w:sz w:val="22"/>
              </w:rPr>
              <w:t>bilete</w:t>
            </w:r>
            <w:proofErr w:type="spellEnd"/>
            <w:r>
              <w:rPr>
                <w:sz w:val="22"/>
              </w:rPr>
              <w:t xml:space="preserve"> og identifisering som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journalistisk </w:t>
            </w:r>
            <w:proofErr w:type="spellStart"/>
            <w:r>
              <w:rPr>
                <w:sz w:val="22"/>
              </w:rPr>
              <w:t>verkemiddel</w:t>
            </w:r>
            <w:proofErr w:type="spellEnd"/>
            <w:r>
              <w:rPr>
                <w:sz w:val="22"/>
              </w:rPr>
              <w:t xml:space="preserve"> i formidlinga av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emne s</w:t>
            </w:r>
            <w:r>
              <w:rPr>
                <w:sz w:val="22"/>
              </w:rPr>
              <w:t xml:space="preserve">om hadde </w:t>
            </w:r>
            <w:proofErr w:type="spellStart"/>
            <w:r>
              <w:rPr>
                <w:sz w:val="22"/>
              </w:rPr>
              <w:t>ålmenn</w:t>
            </w:r>
            <w:proofErr w:type="spellEnd"/>
            <w:r>
              <w:rPr>
                <w:sz w:val="22"/>
              </w:rPr>
              <w:t xml:space="preserve"> interesse, kunne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inngrepet i gutens privatliv </w:t>
            </w:r>
            <w:proofErr w:type="spellStart"/>
            <w:r>
              <w:rPr>
                <w:sz w:val="22"/>
              </w:rPr>
              <w:t>legitimerast</w:t>
            </w:r>
            <w:proofErr w:type="spellEnd"/>
            <w:r>
              <w:rPr>
                <w:sz w:val="22"/>
              </w:rPr>
              <w:t xml:space="preserve"> i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. Så langt er dette parallelt med vår sak. As </w:t>
            </w:r>
            <w:proofErr w:type="spellStart"/>
            <w:r>
              <w:rPr>
                <w:sz w:val="22"/>
              </w:rPr>
              <w:t>offentleggjering</w:t>
            </w:r>
            <w:proofErr w:type="spellEnd"/>
            <w:r>
              <w:rPr>
                <w:sz w:val="22"/>
              </w:rPr>
              <w:t xml:space="preserve"> vart derimot primært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gjord som ledd i </w:t>
            </w:r>
            <w:proofErr w:type="spellStart"/>
            <w:r>
              <w:rPr>
                <w:sz w:val="22"/>
              </w:rPr>
              <w:t>eit</w:t>
            </w:r>
            <w:proofErr w:type="spellEnd"/>
            <w:r>
              <w:rPr>
                <w:sz w:val="22"/>
              </w:rPr>
              <w:t xml:space="preserve"> generelt </w:t>
            </w:r>
            <w:proofErr w:type="spellStart"/>
            <w:r>
              <w:rPr>
                <w:sz w:val="22"/>
              </w:rPr>
              <w:t>offentleg</w:t>
            </w:r>
            <w:proofErr w:type="spellEnd"/>
            <w:r>
              <w:rPr>
                <w:sz w:val="22"/>
              </w:rPr>
              <w:t xml:space="preserve"> ordskifte knytt til barnever</w:t>
            </w:r>
            <w:r>
              <w:rPr>
                <w:sz w:val="22"/>
              </w:rPr>
              <w:t xml:space="preserve">nets </w:t>
            </w:r>
            <w:proofErr w:type="spellStart"/>
            <w:r>
              <w:rPr>
                <w:sz w:val="22"/>
              </w:rPr>
              <w:t>metodar</w:t>
            </w:r>
            <w:proofErr w:type="spellEnd"/>
            <w:r>
              <w:rPr>
                <w:sz w:val="22"/>
              </w:rPr>
              <w:t xml:space="preserve">, men i </w:t>
            </w:r>
            <w:proofErr w:type="spellStart"/>
            <w:r>
              <w:rPr>
                <w:sz w:val="22"/>
              </w:rPr>
              <w:t>hovudsak</w:t>
            </w:r>
            <w:proofErr w:type="spellEnd"/>
            <w:r>
              <w:rPr>
                <w:sz w:val="22"/>
              </w:rPr>
              <w:t xml:space="preserve"> som </w:t>
            </w:r>
            <w:proofErr w:type="spellStart"/>
            <w:r>
              <w:rPr>
                <w:sz w:val="22"/>
              </w:rPr>
              <w:t>verkemiddel</w:t>
            </w:r>
            <w:proofErr w:type="spellEnd"/>
            <w:r>
              <w:rPr>
                <w:sz w:val="22"/>
              </w:rPr>
              <w:t xml:space="preserve"> i </w:t>
            </w:r>
            <w:proofErr w:type="spellStart"/>
            <w:r>
              <w:rPr>
                <w:sz w:val="22"/>
              </w:rPr>
              <w:t>hennar</w:t>
            </w:r>
            <w:proofErr w:type="spellEnd"/>
            <w:r>
              <w:rPr>
                <w:sz w:val="22"/>
              </w:rPr>
              <w:t xml:space="preserve"> eigen kamp mot barnevernet. Denne kampen var viktig for A, men han kunne og burde </w:t>
            </w:r>
            <w:proofErr w:type="spellStart"/>
            <w:r>
              <w:rPr>
                <w:sz w:val="22"/>
              </w:rPr>
              <w:t>vore</w:t>
            </w:r>
            <w:proofErr w:type="spellEnd"/>
            <w:r>
              <w:rPr>
                <w:sz w:val="22"/>
              </w:rPr>
              <w:t xml:space="preserve"> ført </w:t>
            </w:r>
            <w:proofErr w:type="spellStart"/>
            <w:r>
              <w:rPr>
                <w:sz w:val="22"/>
              </w:rPr>
              <w:t>utan</w:t>
            </w:r>
            <w:proofErr w:type="spellEnd"/>
            <w:r>
              <w:rPr>
                <w:sz w:val="22"/>
              </w:rPr>
              <w:t xml:space="preserve"> å </w:t>
            </w:r>
            <w:proofErr w:type="spellStart"/>
            <w:r>
              <w:rPr>
                <w:sz w:val="22"/>
              </w:rPr>
              <w:t>blottleggje</w:t>
            </w:r>
            <w:proofErr w:type="spellEnd"/>
            <w:r>
              <w:rPr>
                <w:sz w:val="22"/>
              </w:rPr>
              <w:t xml:space="preserve"> privat og sensitiv informasjon om den svært unge dottera </w:t>
            </w:r>
            <w:proofErr w:type="spellStart"/>
            <w:r>
              <w:rPr>
                <w:sz w:val="22"/>
              </w:rPr>
              <w:t>hennar</w:t>
            </w:r>
            <w:proofErr w:type="spellEnd"/>
            <w:r>
              <w:rPr>
                <w:sz w:val="22"/>
              </w:rPr>
              <w:t>. Større fridom på dette omr</w:t>
            </w:r>
            <w:r>
              <w:rPr>
                <w:sz w:val="22"/>
              </w:rPr>
              <w:t xml:space="preserve">ådet vil potensielt kunne få store negative </w:t>
            </w:r>
            <w:proofErr w:type="spellStart"/>
            <w:r>
              <w:rPr>
                <w:sz w:val="22"/>
              </w:rPr>
              <w:t>konsekvensar</w:t>
            </w:r>
            <w:proofErr w:type="spellEnd"/>
            <w:r>
              <w:rPr>
                <w:sz w:val="22"/>
              </w:rPr>
              <w:t xml:space="preserve"> for unge i </w:t>
            </w:r>
            <w:proofErr w:type="spellStart"/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sårbar situasjon – som då lett vil kunne bli offer for press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foreldre for å stå fram og kritisere barnevernet. Dette </w:t>
            </w:r>
            <w:proofErr w:type="spellStart"/>
            <w:r>
              <w:rPr>
                <w:sz w:val="22"/>
              </w:rPr>
              <w:t>tilseier</w:t>
            </w:r>
            <w:proofErr w:type="spellEnd"/>
            <w:r>
              <w:rPr>
                <w:sz w:val="22"/>
              </w:rPr>
              <w:t xml:space="preserve"> at omsynet til </w:t>
            </w:r>
            <w:proofErr w:type="spellStart"/>
            <w:r>
              <w:rPr>
                <w:sz w:val="22"/>
              </w:rPr>
              <w:t>ytringsfridomen</w:t>
            </w:r>
            <w:proofErr w:type="spellEnd"/>
            <w:r>
              <w:rPr>
                <w:sz w:val="22"/>
              </w:rPr>
              <w:t xml:space="preserve"> må vike her. Dei andre </w:t>
            </w:r>
            <w:r>
              <w:rPr>
                <w:sz w:val="22"/>
              </w:rPr>
              <w:t xml:space="preserve">kriteria </w:t>
            </w:r>
            <w:proofErr w:type="spellStart"/>
            <w:r>
              <w:rPr>
                <w:sz w:val="22"/>
              </w:rPr>
              <w:t>frå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Axel Springer</w:t>
            </w:r>
            <w:r>
              <w:rPr>
                <w:sz w:val="22"/>
              </w:rPr>
              <w:t xml:space="preserve">-dommen blir då underordna og vil under alle </w:t>
            </w:r>
            <w:proofErr w:type="spellStart"/>
            <w:r>
              <w:rPr>
                <w:sz w:val="22"/>
              </w:rPr>
              <w:t>omstende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kunne føre til </w:t>
            </w:r>
            <w:proofErr w:type="spellStart"/>
            <w:r>
              <w:rPr>
                <w:sz w:val="22"/>
              </w:rPr>
              <w:t>nokon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annan</w:t>
            </w:r>
            <w:proofErr w:type="spellEnd"/>
            <w:r>
              <w:rPr>
                <w:sz w:val="22"/>
              </w:rPr>
              <w:t xml:space="preserve"> konklusjon.</w:t>
            </w:r>
          </w:p>
        </w:tc>
      </w:tr>
    </w:tbl>
    <w:p w14:paraId="495F0A98" w14:textId="77777777" w:rsidR="00A4564E" w:rsidRDefault="00A4564E">
      <w:pPr>
        <w:rPr>
          <w:sz w:val="6"/>
        </w:rPr>
      </w:pPr>
    </w:p>
    <w:p w14:paraId="5E264946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1C6B43BA" w14:textId="77777777">
        <w:tc>
          <w:tcPr>
            <w:tcW w:w="720" w:type="dxa"/>
            <w:noWrap/>
            <w:tcMar>
              <w:right w:w="80" w:type="dxa"/>
            </w:tcMar>
          </w:tcPr>
          <w:p w14:paraId="7DD5FD62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(32)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15669B94" w14:textId="77777777" w:rsidR="00A4564E" w:rsidRDefault="00B9717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kan etter dette </w:t>
            </w:r>
            <w:proofErr w:type="spellStart"/>
            <w:r>
              <w:rPr>
                <w:sz w:val="22"/>
              </w:rPr>
              <w:t>ikkje</w:t>
            </w:r>
            <w:proofErr w:type="spellEnd"/>
            <w:r>
              <w:rPr>
                <w:sz w:val="22"/>
              </w:rPr>
              <w:t xml:space="preserve"> sjå at straff heimla i </w:t>
            </w:r>
            <w:hyperlink r:id="rId62" w:anchor="reference/lov/2005-05-20-28/§267" w:history="1">
              <w:r>
                <w:rPr>
                  <w:sz w:val="22"/>
                </w:rPr>
                <w:t>straffelova § 267</w:t>
              </w:r>
            </w:hyperlink>
            <w:r>
              <w:rPr>
                <w:sz w:val="22"/>
              </w:rPr>
              <w:t xml:space="preserve"> i dette tilfellet vil </w:t>
            </w:r>
            <w:proofErr w:type="spellStart"/>
            <w:r>
              <w:rPr>
                <w:sz w:val="22"/>
              </w:rPr>
              <w:t>innebera</w:t>
            </w:r>
            <w:proofErr w:type="spellEnd"/>
            <w:r>
              <w:rPr>
                <w:sz w:val="22"/>
              </w:rPr>
              <w:t xml:space="preserve"> ei krenking av </w:t>
            </w:r>
            <w:hyperlink r:id="rId63" w:anchor="reference/lov/1814-05-17/§100" w:history="1">
              <w:r>
                <w:rPr>
                  <w:sz w:val="22"/>
                </w:rPr>
                <w:t>Grunnlova § 100</w:t>
              </w:r>
            </w:hyperlink>
            <w:r>
              <w:rPr>
                <w:sz w:val="22"/>
              </w:rPr>
              <w:t xml:space="preserve">, </w:t>
            </w:r>
            <w:hyperlink r:id="rId64" w:anchor="reference/lov/1999-05-21-30/emkn/a10" w:history="1">
              <w:r>
                <w:rPr>
                  <w:sz w:val="22"/>
                </w:rPr>
                <w:t>EMK artik</w:t>
              </w:r>
              <w:r>
                <w:rPr>
                  <w:sz w:val="22"/>
                </w:rPr>
                <w:t>kel 10</w:t>
              </w:r>
            </w:hyperlink>
            <w:r>
              <w:rPr>
                <w:sz w:val="22"/>
              </w:rPr>
              <w:t xml:space="preserve"> eller </w:t>
            </w:r>
            <w:hyperlink r:id="rId65" w:anchor="reference/lov/1999-05-21-30/spn/a19" w:history="1">
              <w:r>
                <w:rPr>
                  <w:sz w:val="22"/>
                </w:rPr>
                <w:t>SP artikkel 19</w:t>
              </w:r>
            </w:hyperlink>
            <w:r>
              <w:rPr>
                <w:sz w:val="22"/>
              </w:rPr>
              <w:t xml:space="preserve">. Anken må etter dette </w:t>
            </w:r>
            <w:proofErr w:type="spellStart"/>
            <w:r>
              <w:rPr>
                <w:sz w:val="22"/>
              </w:rPr>
              <w:t>forkastast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5A11EA92" w14:textId="77777777" w:rsidR="00A4564E" w:rsidRDefault="00A4564E">
      <w:pPr>
        <w:rPr>
          <w:sz w:val="6"/>
        </w:rPr>
      </w:pPr>
    </w:p>
    <w:p w14:paraId="7C60BF1F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0B89E494" w14:textId="77777777">
        <w:tc>
          <w:tcPr>
            <w:tcW w:w="720" w:type="dxa"/>
            <w:noWrap/>
            <w:tcMar>
              <w:right w:w="80" w:type="dxa"/>
            </w:tcMar>
          </w:tcPr>
          <w:p w14:paraId="2691118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(33)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265A5F41" w14:textId="77777777" w:rsidR="00A4564E" w:rsidRDefault="00B9717A">
            <w:pPr>
              <w:rPr>
                <w:sz w:val="6"/>
              </w:rPr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røystar</w:t>
            </w:r>
            <w:proofErr w:type="spellEnd"/>
            <w:r>
              <w:rPr>
                <w:sz w:val="22"/>
              </w:rPr>
              <w:t xml:space="preserve"> etter dette for slik</w:t>
            </w:r>
          </w:p>
          <w:p w14:paraId="74051A13" w14:textId="77777777" w:rsidR="00A4564E" w:rsidRDefault="00B9717A">
            <w:pPr>
              <w:spacing w:before="120"/>
              <w:ind w:left="360" w:firstLine="180"/>
              <w:jc w:val="center"/>
              <w:rPr>
                <w:sz w:val="6"/>
              </w:rPr>
            </w:pPr>
            <w:r>
              <w:rPr>
                <w:sz w:val="22"/>
              </w:rPr>
              <w:t>DOM:</w:t>
            </w:r>
          </w:p>
          <w:p w14:paraId="02C64677" w14:textId="77777777" w:rsidR="00A4564E" w:rsidRDefault="00B9717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Anken blir forkasta.</w:t>
            </w:r>
          </w:p>
        </w:tc>
      </w:tr>
    </w:tbl>
    <w:p w14:paraId="4412AEBA" w14:textId="77777777" w:rsidR="00A4564E" w:rsidRDefault="00A4564E">
      <w:pPr>
        <w:rPr>
          <w:sz w:val="6"/>
        </w:rPr>
      </w:pPr>
    </w:p>
    <w:p w14:paraId="1BC5DF71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0B5D43BB" w14:textId="77777777">
        <w:tc>
          <w:tcPr>
            <w:tcW w:w="720" w:type="dxa"/>
            <w:noWrap/>
            <w:tcMar>
              <w:right w:w="80" w:type="dxa"/>
            </w:tcMar>
          </w:tcPr>
          <w:p w14:paraId="1119C05B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(34)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23F50F6B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Dommer </w:t>
            </w:r>
            <w:r>
              <w:rPr>
                <w:b/>
                <w:sz w:val="22"/>
              </w:rPr>
              <w:t>Noer:</w:t>
            </w:r>
            <w:r>
              <w:rPr>
                <w:sz w:val="22"/>
              </w:rPr>
              <w:t xml:space="preserve"> Jeg er i det vesentlige og i resultatet enig med førstvoterende.</w:t>
            </w:r>
          </w:p>
        </w:tc>
      </w:tr>
    </w:tbl>
    <w:p w14:paraId="13FC17D5" w14:textId="77777777" w:rsidR="00A4564E" w:rsidRDefault="00A4564E">
      <w:pPr>
        <w:rPr>
          <w:sz w:val="6"/>
        </w:rPr>
      </w:pPr>
    </w:p>
    <w:p w14:paraId="492AF103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058B3CF4" w14:textId="77777777">
        <w:tc>
          <w:tcPr>
            <w:tcW w:w="720" w:type="dxa"/>
            <w:noWrap/>
            <w:tcMar>
              <w:right w:w="80" w:type="dxa"/>
            </w:tcMar>
          </w:tcPr>
          <w:p w14:paraId="0F6CE77F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(35)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FF999B9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Dommer </w:t>
            </w:r>
            <w:r>
              <w:rPr>
                <w:b/>
                <w:sz w:val="22"/>
              </w:rPr>
              <w:t>Bergsjø:</w:t>
            </w:r>
            <w:r>
              <w:rPr>
                <w:sz w:val="22"/>
              </w:rPr>
              <w:t xml:space="preserve"> Likeså.</w:t>
            </w:r>
          </w:p>
        </w:tc>
      </w:tr>
    </w:tbl>
    <w:p w14:paraId="49AE21F3" w14:textId="77777777" w:rsidR="00A4564E" w:rsidRDefault="00A4564E">
      <w:pPr>
        <w:rPr>
          <w:sz w:val="6"/>
        </w:rPr>
      </w:pPr>
    </w:p>
    <w:p w14:paraId="385941CB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5C33C302" w14:textId="77777777">
        <w:tc>
          <w:tcPr>
            <w:tcW w:w="720" w:type="dxa"/>
            <w:noWrap/>
            <w:tcMar>
              <w:right w:w="80" w:type="dxa"/>
            </w:tcMar>
          </w:tcPr>
          <w:p w14:paraId="533DCC6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(36)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4D78C73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Dommer </w:t>
            </w:r>
            <w:r>
              <w:rPr>
                <w:b/>
                <w:sz w:val="22"/>
              </w:rPr>
              <w:t>Thyness:</w:t>
            </w:r>
            <w:r>
              <w:rPr>
                <w:sz w:val="22"/>
              </w:rPr>
              <w:t xml:space="preserve"> Likeså.</w:t>
            </w:r>
          </w:p>
        </w:tc>
      </w:tr>
    </w:tbl>
    <w:p w14:paraId="48CD1C83" w14:textId="77777777" w:rsidR="00A4564E" w:rsidRDefault="00A4564E">
      <w:pPr>
        <w:rPr>
          <w:sz w:val="6"/>
        </w:rPr>
      </w:pPr>
    </w:p>
    <w:p w14:paraId="7FCB9FEF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A4564E" w14:paraId="4DD5DC36" w14:textId="77777777">
        <w:tc>
          <w:tcPr>
            <w:tcW w:w="720" w:type="dxa"/>
            <w:noWrap/>
            <w:tcMar>
              <w:right w:w="80" w:type="dxa"/>
            </w:tcMar>
          </w:tcPr>
          <w:p w14:paraId="41C38591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(37)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04E7DB54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Dommer </w:t>
            </w:r>
            <w:r>
              <w:rPr>
                <w:b/>
                <w:sz w:val="22"/>
              </w:rPr>
              <w:t>Indreberg:</w:t>
            </w:r>
            <w:r>
              <w:rPr>
                <w:sz w:val="22"/>
              </w:rPr>
              <w:t xml:space="preserve"> Likeså.</w:t>
            </w:r>
          </w:p>
        </w:tc>
      </w:tr>
    </w:tbl>
    <w:p w14:paraId="206DF463" w14:textId="77777777" w:rsidR="00A4564E" w:rsidRDefault="00A4564E">
      <w:pPr>
        <w:rPr>
          <w:sz w:val="6"/>
        </w:rPr>
      </w:pPr>
    </w:p>
    <w:p w14:paraId="35453B9A" w14:textId="77777777" w:rsidR="00A4564E" w:rsidRDefault="00A4564E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74"/>
      </w:tblGrid>
      <w:tr w:rsidR="00A4564E" w14:paraId="22EFCC98" w14:textId="77777777">
        <w:tc>
          <w:tcPr>
            <w:tcW w:w="720" w:type="dxa"/>
            <w:noWrap/>
            <w:tcMar>
              <w:right w:w="80" w:type="dxa"/>
            </w:tcMar>
          </w:tcPr>
          <w:p w14:paraId="3C0C6148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>(38)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1FCD4EF" w14:textId="77777777" w:rsidR="00A4564E" w:rsidRDefault="00B9717A">
            <w:pPr>
              <w:rPr>
                <w:sz w:val="22"/>
              </w:rPr>
            </w:pPr>
            <w:r>
              <w:rPr>
                <w:sz w:val="22"/>
              </w:rPr>
              <w:t xml:space="preserve">Etter </w:t>
            </w:r>
            <w:proofErr w:type="spellStart"/>
            <w:r>
              <w:rPr>
                <w:sz w:val="22"/>
              </w:rPr>
              <w:t>røystinga</w:t>
            </w:r>
            <w:proofErr w:type="spellEnd"/>
            <w:r>
              <w:rPr>
                <w:sz w:val="22"/>
              </w:rPr>
              <w:t xml:space="preserve"> sa Høgsterett slik</w:t>
            </w:r>
          </w:p>
          <w:p w14:paraId="1B819D22" w14:textId="77777777" w:rsidR="00A4564E" w:rsidRDefault="00A4564E">
            <w:pPr>
              <w:rPr>
                <w:sz w:val="6"/>
              </w:rPr>
            </w:pPr>
          </w:p>
          <w:p w14:paraId="5675DFB1" w14:textId="77777777" w:rsidR="00A4564E" w:rsidRDefault="00B9717A">
            <w:pPr>
              <w:spacing w:before="120"/>
              <w:ind w:left="360" w:firstLine="180"/>
              <w:jc w:val="center"/>
              <w:rPr>
                <w:i/>
                <w:sz w:val="6"/>
              </w:rPr>
            </w:pPr>
            <w:r>
              <w:rPr>
                <w:i/>
                <w:sz w:val="22"/>
              </w:rPr>
              <w:t>DOM:</w:t>
            </w:r>
          </w:p>
          <w:p w14:paraId="031367F0" w14:textId="77777777" w:rsidR="00A4564E" w:rsidRDefault="00B9717A">
            <w:pPr>
              <w:spacing w:before="120"/>
              <w:rPr>
                <w:sz w:val="22"/>
              </w:rPr>
            </w:pPr>
            <w:r>
              <w:rPr>
                <w:i/>
                <w:sz w:val="22"/>
              </w:rPr>
              <w:t xml:space="preserve">Anken blir forkasta. </w:t>
            </w:r>
          </w:p>
          <w:p w14:paraId="1A87257A" w14:textId="77777777" w:rsidR="00A4564E" w:rsidRDefault="00A4564E">
            <w:pPr>
              <w:spacing w:before="120"/>
              <w:rPr>
                <w:sz w:val="22"/>
              </w:rPr>
            </w:pPr>
          </w:p>
          <w:p w14:paraId="4DB57125" w14:textId="77777777" w:rsidR="00A4564E" w:rsidRDefault="00A4564E">
            <w:pPr>
              <w:spacing w:before="120"/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46"/>
            </w:tblGrid>
            <w:tr w:rsidR="00A4564E" w14:paraId="5196E3C7" w14:textId="77777777">
              <w:tc>
                <w:tcPr>
                  <w:tcW w:w="360" w:type="dxa"/>
                  <w:noWrap/>
                  <w:tcMar>
                    <w:right w:w="80" w:type="dxa"/>
                  </w:tcMar>
                </w:tcPr>
                <w:p w14:paraId="44C26F49" w14:textId="77777777" w:rsidR="00A4564E" w:rsidRDefault="00B9717A">
                  <w:pPr>
                    <w:pStyle w:val="Fotnotetekst"/>
                    <w:spacing w:before="2" w:after="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146" w:type="dxa"/>
                  <w:noWrap/>
                  <w:tcMar>
                    <w:right w:w="80" w:type="dxa"/>
                  </w:tcMar>
                </w:tcPr>
                <w:p w14:paraId="72340B00" w14:textId="77777777" w:rsidR="00A4564E" w:rsidRDefault="00B9717A">
                  <w:pPr>
                    <w:pStyle w:val="Fotnotetekst"/>
                    <w:spacing w:before="2" w:after="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Tilføyd av </w:t>
                  </w:r>
                  <w:r>
                    <w:rPr>
                      <w:sz w:val="18"/>
                    </w:rPr>
                    <w:t>Lovdata.</w:t>
                  </w:r>
                </w:p>
              </w:tc>
            </w:tr>
          </w:tbl>
          <w:p w14:paraId="24AD2EF9" w14:textId="77777777" w:rsidR="00A4564E" w:rsidRDefault="00A4564E">
            <w:pPr>
              <w:rPr>
                <w:sz w:val="22"/>
              </w:rPr>
            </w:pPr>
          </w:p>
        </w:tc>
      </w:tr>
      <w:bookmarkEnd w:id="4"/>
    </w:tbl>
    <w:p w14:paraId="6488974B" w14:textId="77777777" w:rsidR="00A4564E" w:rsidRDefault="00A4564E">
      <w:pPr>
        <w:rPr>
          <w:sz w:val="22"/>
        </w:rPr>
      </w:pPr>
    </w:p>
    <w:sectPr w:rsidR="00A4564E">
      <w:headerReference w:type="default" r:id="rId66"/>
      <w:footerReference w:type="default" r:id="rId67"/>
      <w:pgSz w:w="11906" w:h="16838"/>
      <w:pgMar w:top="1020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0E8C1" w14:textId="77777777" w:rsidR="00000000" w:rsidRDefault="00B9717A">
      <w:r>
        <w:separator/>
      </w:r>
    </w:p>
  </w:endnote>
  <w:endnote w:type="continuationSeparator" w:id="0">
    <w:p w14:paraId="3101B7C4" w14:textId="77777777" w:rsidR="00000000" w:rsidRDefault="00B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907A" w14:textId="77777777" w:rsidR="00A4564E" w:rsidRDefault="00B9717A">
    <w:pPr>
      <w:jc w:val="center"/>
      <w:rPr>
        <w:sz w:val="22"/>
      </w:rPr>
    </w:pPr>
    <w:r>
      <w:rPr>
        <w:sz w:val="22"/>
      </w:rPr>
      <w:t xml:space="preserve"> </w:t>
    </w:r>
  </w:p>
  <w:p w14:paraId="76B79A18" w14:textId="77777777" w:rsidR="00A4564E" w:rsidRDefault="00B9717A">
    <w:pPr>
      <w:jc w:val="center"/>
      <w:rPr>
        <w:sz w:val="22"/>
      </w:rPr>
    </w:pPr>
    <w:r>
      <w:rPr>
        <w:sz w:val="22"/>
      </w:rPr>
      <w:t>HR-2019-2038-A</w:t>
    </w:r>
  </w:p>
  <w:p w14:paraId="7C9F7BA2" w14:textId="77777777" w:rsidR="00A4564E" w:rsidRDefault="00B9717A">
    <w:pPr>
      <w:jc w:val="center"/>
      <w:rPr>
        <w:sz w:val="22"/>
      </w:rPr>
    </w:pPr>
    <w:r>
      <w:rPr>
        <w:sz w:val="22"/>
      </w:rPr>
      <w:t xml:space="preserve">Side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FAEF8" w14:textId="77777777" w:rsidR="00000000" w:rsidRDefault="00B9717A">
      <w:r>
        <w:separator/>
      </w:r>
    </w:p>
  </w:footnote>
  <w:footnote w:type="continuationSeparator" w:id="0">
    <w:p w14:paraId="72BA60DC" w14:textId="77777777" w:rsidR="00000000" w:rsidRDefault="00B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34C3" w14:textId="77777777" w:rsidR="00A4564E" w:rsidRDefault="00B9717A">
    <w:pPr>
      <w:jc w:val="right"/>
      <w:rPr>
        <w:sz w:val="22"/>
      </w:rPr>
    </w:pPr>
    <w:r>
      <w:rPr>
        <w:sz w:val="22"/>
      </w:rPr>
      <w:t>Utskrift fra Lovdata - 16.11.2019 17:21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4564E"/>
    <w:rsid w:val="00A77B3E"/>
    <w:rsid w:val="00B9717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60C831"/>
  <w15:docId w15:val="{48D3DDB7-AEE7-4BFB-A324-E36C98A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F7B96"/>
    <w:pPr>
      <w:spacing w:before="240" w:after="60"/>
      <w:outlineLvl w:val="7"/>
    </w:pPr>
    <w:rPr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805BCE"/>
    <w:rPr>
      <w:b/>
      <w:sz w:val="22"/>
    </w:rPr>
  </w:style>
  <w:style w:type="paragraph" w:styleId="INNH2">
    <w:name w:val="toc 2"/>
    <w:basedOn w:val="Normal"/>
    <w:next w:val="Normal"/>
    <w:autoRedefine/>
    <w:rsid w:val="00805BCE"/>
    <w:pPr>
      <w:ind w:left="240"/>
    </w:pPr>
    <w:rPr>
      <w:b/>
      <w:sz w:val="22"/>
    </w:rPr>
  </w:style>
  <w:style w:type="paragraph" w:styleId="INNH3">
    <w:name w:val="toc 3"/>
    <w:basedOn w:val="Normal"/>
    <w:next w:val="Normal"/>
    <w:autoRedefine/>
    <w:rsid w:val="00805BCE"/>
    <w:pPr>
      <w:ind w:left="480"/>
    </w:pPr>
    <w:rPr>
      <w:b/>
      <w:sz w:val="22"/>
    </w:rPr>
  </w:style>
  <w:style w:type="paragraph" w:styleId="INNH4">
    <w:name w:val="toc 4"/>
    <w:basedOn w:val="Normal"/>
    <w:next w:val="Normal"/>
    <w:autoRedefine/>
    <w:rsid w:val="00805BCE"/>
    <w:pPr>
      <w:ind w:left="720"/>
    </w:pPr>
    <w:rPr>
      <w:b/>
      <w:sz w:val="22"/>
    </w:rPr>
  </w:style>
  <w:style w:type="paragraph" w:styleId="INNH5">
    <w:name w:val="toc 5"/>
    <w:basedOn w:val="Normal"/>
    <w:next w:val="Normal"/>
    <w:autoRedefine/>
    <w:rsid w:val="00805BCE"/>
    <w:pPr>
      <w:ind w:left="960"/>
    </w:pPr>
    <w:rPr>
      <w:b/>
      <w:sz w:val="22"/>
    </w:rPr>
  </w:style>
  <w:style w:type="paragraph" w:styleId="INNH6">
    <w:name w:val="toc 6"/>
    <w:basedOn w:val="Normal"/>
    <w:next w:val="Normal"/>
    <w:autoRedefine/>
    <w:rsid w:val="00805BCE"/>
    <w:pPr>
      <w:ind w:left="1200"/>
    </w:pPr>
    <w:rPr>
      <w:b/>
      <w:sz w:val="22"/>
    </w:rPr>
  </w:style>
  <w:style w:type="paragraph" w:styleId="INNH7">
    <w:name w:val="toc 7"/>
    <w:basedOn w:val="Normal"/>
    <w:next w:val="Normal"/>
    <w:autoRedefine/>
    <w:rsid w:val="00805BCE"/>
    <w:pPr>
      <w:ind w:left="1440"/>
    </w:pPr>
    <w:rPr>
      <w:b/>
      <w:sz w:val="22"/>
    </w:rPr>
  </w:style>
  <w:style w:type="paragraph" w:styleId="INNH8">
    <w:name w:val="toc 8"/>
    <w:basedOn w:val="Normal"/>
    <w:next w:val="Normal"/>
    <w:autoRedefine/>
    <w:rsid w:val="00805BCE"/>
    <w:pPr>
      <w:ind w:left="1680"/>
    </w:pPr>
    <w:rPr>
      <w:b/>
      <w:sz w:val="22"/>
    </w:rPr>
  </w:style>
  <w:style w:type="paragraph" w:styleId="INNH9">
    <w:name w:val="toc 9"/>
    <w:basedOn w:val="Normal"/>
    <w:next w:val="Normal"/>
    <w:autoRedefine/>
    <w:rsid w:val="00805BCE"/>
    <w:pPr>
      <w:ind w:left="1920"/>
    </w:pPr>
    <w:rPr>
      <w:b/>
      <w:sz w:val="22"/>
    </w:rPr>
  </w:style>
  <w:style w:type="paragraph" w:styleId="Fotnotetekst">
    <w:name w:val="footnote text"/>
    <w:basedOn w:val="Normal"/>
    <w:rsid w:val="00805BCE"/>
    <w:rPr>
      <w:sz w:val="20"/>
      <w:szCs w:val="20"/>
    </w:rPr>
  </w:style>
  <w:style w:type="character" w:styleId="Hyperkobling">
    <w:name w:val="Hyperlink"/>
    <w:basedOn w:val="Standardskriftforavsnit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vdata.no/pro" TargetMode="External"/><Relationship Id="rId18" Type="http://schemas.openxmlformats.org/officeDocument/2006/relationships/hyperlink" Target="http://www.lovdata.no/pro" TargetMode="External"/><Relationship Id="rId26" Type="http://schemas.openxmlformats.org/officeDocument/2006/relationships/hyperlink" Target="http://www.lovdata.no/pro" TargetMode="External"/><Relationship Id="rId39" Type="http://schemas.openxmlformats.org/officeDocument/2006/relationships/hyperlink" Target="http://www.lovdata.no/pro" TargetMode="External"/><Relationship Id="rId21" Type="http://schemas.openxmlformats.org/officeDocument/2006/relationships/hyperlink" Target="http://www.lovdata.no/pro" TargetMode="External"/><Relationship Id="rId34" Type="http://schemas.openxmlformats.org/officeDocument/2006/relationships/hyperlink" Target="http://www.lovdata.no/pro" TargetMode="External"/><Relationship Id="rId42" Type="http://schemas.openxmlformats.org/officeDocument/2006/relationships/hyperlink" Target="http://www.lovdata.no/pro" TargetMode="External"/><Relationship Id="rId47" Type="http://schemas.openxmlformats.org/officeDocument/2006/relationships/hyperlink" Target="http://www.lovdata.no/pro" TargetMode="External"/><Relationship Id="rId50" Type="http://schemas.openxmlformats.org/officeDocument/2006/relationships/hyperlink" Target="http://www.lovdata.no/pro" TargetMode="External"/><Relationship Id="rId55" Type="http://schemas.openxmlformats.org/officeDocument/2006/relationships/hyperlink" Target="http://www.lovdata.no/pro" TargetMode="External"/><Relationship Id="rId63" Type="http://schemas.openxmlformats.org/officeDocument/2006/relationships/hyperlink" Target="http://www.lovdata.no/pro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lovdata.no/p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vdata.no/pro" TargetMode="External"/><Relationship Id="rId29" Type="http://schemas.openxmlformats.org/officeDocument/2006/relationships/hyperlink" Target="http://www.lovdata.no/pr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vdata.no/pro" TargetMode="External"/><Relationship Id="rId24" Type="http://schemas.openxmlformats.org/officeDocument/2006/relationships/hyperlink" Target="http://www.lovdata.no/pro" TargetMode="External"/><Relationship Id="rId32" Type="http://schemas.openxmlformats.org/officeDocument/2006/relationships/hyperlink" Target="http://www.lovdata.no/pro" TargetMode="External"/><Relationship Id="rId37" Type="http://schemas.openxmlformats.org/officeDocument/2006/relationships/hyperlink" Target="http://www.lovdata.no/pro" TargetMode="External"/><Relationship Id="rId40" Type="http://schemas.openxmlformats.org/officeDocument/2006/relationships/hyperlink" Target="http://www.lovdata.no/pro" TargetMode="External"/><Relationship Id="rId45" Type="http://schemas.openxmlformats.org/officeDocument/2006/relationships/hyperlink" Target="http://www.lovdata.no/pro" TargetMode="External"/><Relationship Id="rId53" Type="http://schemas.openxmlformats.org/officeDocument/2006/relationships/hyperlink" Target="http://www.lovdata.no/pro" TargetMode="External"/><Relationship Id="rId58" Type="http://schemas.openxmlformats.org/officeDocument/2006/relationships/hyperlink" Target="http://www.lovdata.no/pro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lovdata.no/pro" TargetMode="External"/><Relationship Id="rId23" Type="http://schemas.openxmlformats.org/officeDocument/2006/relationships/hyperlink" Target="http://www.lovdata.no/pro" TargetMode="External"/><Relationship Id="rId28" Type="http://schemas.openxmlformats.org/officeDocument/2006/relationships/hyperlink" Target="http://www.lovdata.no/pro" TargetMode="External"/><Relationship Id="rId36" Type="http://schemas.openxmlformats.org/officeDocument/2006/relationships/hyperlink" Target="http://www.lovdata.no/pro" TargetMode="External"/><Relationship Id="rId49" Type="http://schemas.openxmlformats.org/officeDocument/2006/relationships/hyperlink" Target="http://www.lovdata.no/pro" TargetMode="External"/><Relationship Id="rId57" Type="http://schemas.openxmlformats.org/officeDocument/2006/relationships/hyperlink" Target="http://www.lovdata.no/pro" TargetMode="External"/><Relationship Id="rId61" Type="http://schemas.openxmlformats.org/officeDocument/2006/relationships/hyperlink" Target="http://www.lovdata.no/pro" TargetMode="External"/><Relationship Id="rId10" Type="http://schemas.openxmlformats.org/officeDocument/2006/relationships/hyperlink" Target="http://www.lovdata.no/pro" TargetMode="External"/><Relationship Id="rId19" Type="http://schemas.openxmlformats.org/officeDocument/2006/relationships/hyperlink" Target="http://www.lovdata.no/pro" TargetMode="External"/><Relationship Id="rId31" Type="http://schemas.openxmlformats.org/officeDocument/2006/relationships/hyperlink" Target="http://www.lovdata.no/pro" TargetMode="External"/><Relationship Id="rId44" Type="http://schemas.openxmlformats.org/officeDocument/2006/relationships/hyperlink" Target="http://www.lovdata.no/pro" TargetMode="External"/><Relationship Id="rId52" Type="http://schemas.openxmlformats.org/officeDocument/2006/relationships/hyperlink" Target="http://www.lovdata.no/pro" TargetMode="External"/><Relationship Id="rId60" Type="http://schemas.openxmlformats.org/officeDocument/2006/relationships/hyperlink" Target="http://www.lovdata.no/pro" TargetMode="External"/><Relationship Id="rId65" Type="http://schemas.openxmlformats.org/officeDocument/2006/relationships/hyperlink" Target="http://www.lovdata.no/p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vdata.no/pro" TargetMode="External"/><Relationship Id="rId14" Type="http://schemas.openxmlformats.org/officeDocument/2006/relationships/hyperlink" Target="http://www.lovdata.no/pro" TargetMode="External"/><Relationship Id="rId22" Type="http://schemas.openxmlformats.org/officeDocument/2006/relationships/hyperlink" Target="http://www.lovdata.no/pro" TargetMode="External"/><Relationship Id="rId27" Type="http://schemas.openxmlformats.org/officeDocument/2006/relationships/hyperlink" Target="http://www.lovdata.no/pro" TargetMode="External"/><Relationship Id="rId30" Type="http://schemas.openxmlformats.org/officeDocument/2006/relationships/hyperlink" Target="http://www.lovdata.no/pro" TargetMode="External"/><Relationship Id="rId35" Type="http://schemas.openxmlformats.org/officeDocument/2006/relationships/hyperlink" Target="http://www.lovdata.no/pro" TargetMode="External"/><Relationship Id="rId43" Type="http://schemas.openxmlformats.org/officeDocument/2006/relationships/hyperlink" Target="http://www.lovdata.no/pro" TargetMode="External"/><Relationship Id="rId48" Type="http://schemas.openxmlformats.org/officeDocument/2006/relationships/hyperlink" Target="http://www.lovdata.no/pro" TargetMode="External"/><Relationship Id="rId56" Type="http://schemas.openxmlformats.org/officeDocument/2006/relationships/hyperlink" Target="http://www.lovdata.no/pro" TargetMode="External"/><Relationship Id="rId64" Type="http://schemas.openxmlformats.org/officeDocument/2006/relationships/hyperlink" Target="http://www.lovdata.no/pr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lovdata.no/pro" TargetMode="External"/><Relationship Id="rId51" Type="http://schemas.openxmlformats.org/officeDocument/2006/relationships/hyperlink" Target="http://www.lovdata.no/p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ovdata.no/pro" TargetMode="External"/><Relationship Id="rId17" Type="http://schemas.openxmlformats.org/officeDocument/2006/relationships/hyperlink" Target="http://www.lovdata.no/pro" TargetMode="External"/><Relationship Id="rId25" Type="http://schemas.openxmlformats.org/officeDocument/2006/relationships/hyperlink" Target="http://www.lovdata.no/pro" TargetMode="External"/><Relationship Id="rId33" Type="http://schemas.openxmlformats.org/officeDocument/2006/relationships/hyperlink" Target="http://www.lovdata.no/pro" TargetMode="External"/><Relationship Id="rId38" Type="http://schemas.openxmlformats.org/officeDocument/2006/relationships/hyperlink" Target="http://www.lovdata.no/pro" TargetMode="External"/><Relationship Id="rId46" Type="http://schemas.openxmlformats.org/officeDocument/2006/relationships/hyperlink" Target="http://www.lovdata.no/pro" TargetMode="External"/><Relationship Id="rId59" Type="http://schemas.openxmlformats.org/officeDocument/2006/relationships/hyperlink" Target="http://www.lovdata.no/pro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lovdata.no/pro" TargetMode="External"/><Relationship Id="rId41" Type="http://schemas.openxmlformats.org/officeDocument/2006/relationships/hyperlink" Target="http://www.lovdata.no/pro" TargetMode="External"/><Relationship Id="rId54" Type="http://schemas.openxmlformats.org/officeDocument/2006/relationships/hyperlink" Target="http://www.lovdata.no/pro" TargetMode="External"/><Relationship Id="rId62" Type="http://schemas.openxmlformats.org/officeDocument/2006/relationships/hyperlink" Target="http://www.lovdata.no/pr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3651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Stiftelsen Lovdata</Company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Noregs Høgsterett - Dom - HR-2019-2038-A</dc:title>
  <dc:subject>Noregs Høgsterett - Dom - HR-2019-2038-A</dc:subject>
  <dc:creator>Stiftelsen Lovdata</dc:creator>
  <cp:lastModifiedBy>Arne Jensen</cp:lastModifiedBy>
  <cp:revision>2</cp:revision>
  <dcterms:created xsi:type="dcterms:W3CDTF">2019-11-16T16:23:00Z</dcterms:created>
  <dcterms:modified xsi:type="dcterms:W3CDTF">2019-11-16T16:23:00Z</dcterms:modified>
  <cp:category>Juridisk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Font">
    <vt:lpwstr>Times New Roman</vt:lpwstr>
  </property>
  <property fmtid="{D5CDD505-2E9C-101B-9397-08002B2CF9AE}" pid="3" name="Lovdata-UID">
    <vt:i4>17265</vt:i4>
  </property>
</Properties>
</file>