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64E1" w14:textId="77777777" w:rsidR="00A77B3E" w:rsidRDefault="00A77B3E">
      <w:pPr>
        <w:rPr>
          <w:color w:val="000000"/>
        </w:rPr>
      </w:pPr>
    </w:p>
    <w:p w14:paraId="58E7FED4" w14:textId="77777777" w:rsidR="00A77B3E" w:rsidRDefault="00A0644B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5727E4DB" w14:textId="77777777" w:rsidR="00A77B3E" w:rsidRDefault="00A0644B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45420C0" wp14:editId="1A79421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88303" cy="241599"/>
            <wp:effectExtent l="0" t="0" r="0" b="0"/>
            <wp:wrapTopAndBottom/>
            <wp:docPr id="100001" name="Bild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8250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8303" cy="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3773B" w14:textId="77777777" w:rsidR="00A77B3E" w:rsidRDefault="00A0644B">
      <w:pPr>
        <w:pStyle w:val="Overskrift1"/>
        <w:jc w:val="center"/>
        <w:rPr>
          <w:color w:val="000000"/>
        </w:rPr>
      </w:pPr>
      <w:bookmarkStart w:id="0" w:name="_Toc256000000"/>
      <w:r>
        <w:rPr>
          <w:color w:val="000000"/>
        </w:rPr>
        <w:t>Norges Høyesterett - Beslutning - HR-2019-2020-F</w:t>
      </w:r>
      <w:bookmarkEnd w:id="0"/>
    </w:p>
    <w:p w14:paraId="3E81EBD3" w14:textId="77777777" w:rsidR="00F36193" w:rsidRDefault="00F36193">
      <w:pPr>
        <w:jc w:val="center"/>
        <w:rPr>
          <w:sz w:val="22"/>
        </w:rPr>
      </w:pPr>
    </w:p>
    <w:p w14:paraId="1940CBE1" w14:textId="77777777" w:rsidR="00F36193" w:rsidRDefault="00F36193">
      <w:pPr>
        <w:jc w:val="center"/>
        <w:rPr>
          <w:sz w:val="22"/>
        </w:rPr>
      </w:pPr>
      <w:bookmarkStart w:id="1" w:name="documentMeta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7400"/>
      </w:tblGrid>
      <w:tr w:rsidR="00F36193" w14:paraId="027151A3" w14:textId="77777777">
        <w:tc>
          <w:tcPr>
            <w:tcW w:w="2000" w:type="dxa"/>
          </w:tcPr>
          <w:p w14:paraId="65DA427D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Instans</w:t>
            </w:r>
          </w:p>
        </w:tc>
        <w:tc>
          <w:tcPr>
            <w:tcW w:w="6000" w:type="dxa"/>
          </w:tcPr>
          <w:p w14:paraId="0135A7C1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Norges Høyesterett – Beslutning</w:t>
            </w:r>
          </w:p>
        </w:tc>
      </w:tr>
      <w:tr w:rsidR="00F36193" w14:paraId="2ADD40CB" w14:textId="77777777">
        <w:tc>
          <w:tcPr>
            <w:tcW w:w="2000" w:type="dxa"/>
          </w:tcPr>
          <w:p w14:paraId="5055885F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Dato</w:t>
            </w:r>
          </w:p>
        </w:tc>
        <w:tc>
          <w:tcPr>
            <w:tcW w:w="6000" w:type="dxa"/>
          </w:tcPr>
          <w:p w14:paraId="7C5D85A7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2019-11-01</w:t>
            </w:r>
          </w:p>
        </w:tc>
      </w:tr>
      <w:tr w:rsidR="00F36193" w14:paraId="70691664" w14:textId="77777777">
        <w:tc>
          <w:tcPr>
            <w:tcW w:w="2000" w:type="dxa"/>
          </w:tcPr>
          <w:p w14:paraId="050B7F98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Publisert</w:t>
            </w:r>
          </w:p>
        </w:tc>
        <w:tc>
          <w:tcPr>
            <w:tcW w:w="6000" w:type="dxa"/>
          </w:tcPr>
          <w:p w14:paraId="252AA783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HR-2019-2020-F</w:t>
            </w:r>
          </w:p>
        </w:tc>
      </w:tr>
      <w:tr w:rsidR="00F36193" w14:paraId="411FE05B" w14:textId="77777777">
        <w:tc>
          <w:tcPr>
            <w:tcW w:w="2000" w:type="dxa"/>
          </w:tcPr>
          <w:p w14:paraId="0A8CF750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Stikkord</w:t>
            </w:r>
          </w:p>
        </w:tc>
        <w:tc>
          <w:tcPr>
            <w:tcW w:w="6000" w:type="dxa"/>
          </w:tcPr>
          <w:p w14:paraId="5CF86AA3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Straffeprosess. Lydopptak under ankeforhandlingene i straffesak.</w:t>
            </w:r>
          </w:p>
        </w:tc>
      </w:tr>
      <w:tr w:rsidR="00F36193" w14:paraId="511E87EF" w14:textId="77777777">
        <w:tc>
          <w:tcPr>
            <w:tcW w:w="2000" w:type="dxa"/>
          </w:tcPr>
          <w:p w14:paraId="7EEEE789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Sammendrag</w:t>
            </w:r>
          </w:p>
        </w:tc>
        <w:tc>
          <w:tcPr>
            <w:tcW w:w="6000" w:type="dxa"/>
          </w:tcPr>
          <w:p w14:paraId="2E3562DD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 xml:space="preserve">Bergens Tidende ble gitt </w:t>
            </w:r>
            <w:r>
              <w:rPr>
                <w:sz w:val="22"/>
              </w:rPr>
              <w:t>tillatelse til å foreta lydopptak under ankeforhandlingen i Høyesterett av straffesak som gjelder straffutmåling for drap mv., jf. domstolloven § 131a, jf. forskrift 15. november 1985 nr. 1910 § 3 første ledd bokstav a og c. (Sammendrag ved Lovdata)</w:t>
            </w:r>
          </w:p>
        </w:tc>
      </w:tr>
      <w:tr w:rsidR="00F36193" w14:paraId="7DC47AA5" w14:textId="77777777">
        <w:tc>
          <w:tcPr>
            <w:tcW w:w="2000" w:type="dxa"/>
          </w:tcPr>
          <w:p w14:paraId="1B51B8E3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Saksg</w:t>
            </w:r>
            <w:r>
              <w:rPr>
                <w:sz w:val="22"/>
              </w:rPr>
              <w:t>ang</w:t>
            </w:r>
          </w:p>
        </w:tc>
        <w:tc>
          <w:tcPr>
            <w:tcW w:w="6000" w:type="dxa"/>
          </w:tcPr>
          <w:p w14:paraId="292EA6DF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Høyesterett HR-2019-2020-F, (sak nr. 19-131162STR-HRET), straffesak, anke over dom.</w:t>
            </w:r>
          </w:p>
        </w:tc>
      </w:tr>
      <w:tr w:rsidR="00F36193" w14:paraId="7626184F" w14:textId="77777777">
        <w:tc>
          <w:tcPr>
            <w:tcW w:w="2000" w:type="dxa"/>
          </w:tcPr>
          <w:p w14:paraId="75A210A3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Parter</w:t>
            </w:r>
          </w:p>
        </w:tc>
        <w:tc>
          <w:tcPr>
            <w:tcW w:w="6000" w:type="dxa"/>
          </w:tcPr>
          <w:p w14:paraId="6565316D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 xml:space="preserve">A (advokat Øystein Ola Storrvik) mot Påtalemyndigheten (konstituert statsadvokat Sturla </w:t>
            </w:r>
            <w:proofErr w:type="spellStart"/>
            <w:r>
              <w:rPr>
                <w:sz w:val="22"/>
              </w:rPr>
              <w:t>Henriksbø</w:t>
            </w:r>
            <w:proofErr w:type="spellEnd"/>
            <w:r>
              <w:rPr>
                <w:sz w:val="22"/>
              </w:rPr>
              <w:t>).</w:t>
            </w:r>
          </w:p>
        </w:tc>
      </w:tr>
      <w:tr w:rsidR="00F36193" w14:paraId="6D5CF4F5" w14:textId="77777777">
        <w:tc>
          <w:tcPr>
            <w:tcW w:w="2000" w:type="dxa"/>
          </w:tcPr>
          <w:p w14:paraId="2E7F7640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Forfatter</w:t>
            </w:r>
          </w:p>
        </w:tc>
        <w:tc>
          <w:tcPr>
            <w:tcW w:w="6000" w:type="dxa"/>
          </w:tcPr>
          <w:p w14:paraId="6AE85049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Dommer Webster.</w:t>
            </w:r>
          </w:p>
        </w:tc>
      </w:tr>
      <w:tr w:rsidR="00F36193" w14:paraId="3CCC4B08" w14:textId="77777777">
        <w:tc>
          <w:tcPr>
            <w:tcW w:w="2000" w:type="dxa"/>
          </w:tcPr>
          <w:p w14:paraId="222E3F56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Sist oppdatert</w:t>
            </w:r>
          </w:p>
        </w:tc>
        <w:tc>
          <w:tcPr>
            <w:tcW w:w="6000" w:type="dxa"/>
          </w:tcPr>
          <w:p w14:paraId="6340821C" w14:textId="77777777" w:rsidR="00F36193" w:rsidRDefault="00A0644B">
            <w:pPr>
              <w:spacing w:before="100"/>
              <w:rPr>
                <w:sz w:val="22"/>
              </w:rPr>
            </w:pPr>
            <w:r>
              <w:rPr>
                <w:sz w:val="22"/>
              </w:rPr>
              <w:t>2019-11-08</w:t>
            </w:r>
          </w:p>
        </w:tc>
      </w:tr>
    </w:tbl>
    <w:p w14:paraId="04674A1A" w14:textId="77777777" w:rsidR="00F36193" w:rsidRDefault="00F36193">
      <w:pPr>
        <w:spacing w:before="100"/>
        <w:jc w:val="center"/>
        <w:rPr>
          <w:sz w:val="22"/>
        </w:rPr>
      </w:pPr>
    </w:p>
    <w:p w14:paraId="099272E8" w14:textId="77777777" w:rsidR="00F36193" w:rsidRDefault="00A0644B">
      <w:pPr>
        <w:jc w:val="center"/>
        <w:rPr>
          <w:sz w:val="22"/>
        </w:rPr>
      </w:pPr>
      <w:r>
        <w:pict w14:anchorId="38E83143">
          <v:rect id="_x0000_i1025" style="width:493.3pt;height:2.25pt" o:hralign="center" o:hrstd="t" o:hrnoshade="t" o:hr="t" fillcolor="#cd0c1a" stroked="f">
            <v:path strokeok="f"/>
          </v:rect>
        </w:pict>
      </w:r>
    </w:p>
    <w:p w14:paraId="524EEF3E" w14:textId="77777777" w:rsidR="00F36193" w:rsidRDefault="00A0644B">
      <w:pPr>
        <w:jc w:val="center"/>
        <w:rPr>
          <w:sz w:val="22"/>
        </w:rPr>
      </w:pPr>
      <w:r>
        <w:rPr>
          <w:sz w:val="22"/>
        </w:rPr>
        <w:br w:type="page"/>
      </w:r>
      <w:bookmarkEnd w:id="1"/>
    </w:p>
    <w:p w14:paraId="393D09DF" w14:textId="77777777" w:rsidR="00F36193" w:rsidRDefault="00A0644B">
      <w:pPr>
        <w:pStyle w:val="Overskrift2"/>
        <w:spacing w:before="0" w:after="0"/>
        <w:jc w:val="center"/>
        <w:rPr>
          <w:sz w:val="22"/>
        </w:rPr>
      </w:pPr>
      <w:bookmarkStart w:id="2" w:name="_Toc256000001"/>
      <w:r>
        <w:rPr>
          <w:sz w:val="22"/>
        </w:rPr>
        <w:t>Innholdsfortegnelse</w:t>
      </w:r>
      <w:bookmarkEnd w:id="2"/>
    </w:p>
    <w:p w14:paraId="75B07C83" w14:textId="77777777" w:rsidR="00F36193" w:rsidRDefault="00A0644B">
      <w:pPr>
        <w:pStyle w:val="INNH1"/>
        <w:tabs>
          <w:tab w:val="right" w:leader="dot" w:pos="9456"/>
        </w:tabs>
        <w:ind w:right="1000"/>
        <w:rPr>
          <w:rFonts w:ascii="Calibri" w:hAnsi="Calibri"/>
          <w:noProof/>
        </w:rPr>
      </w:pPr>
      <w:r>
        <w:fldChar w:fldCharType="begin"/>
      </w:r>
      <w:r>
        <w:instrText>TOC \o "1-9" \z \u \h</w:instrText>
      </w:r>
      <w:r>
        <w:fldChar w:fldCharType="separate"/>
      </w:r>
      <w:hyperlink w:anchor="_Toc256000000" w:history="1">
        <w:r w:rsidR="00A77B3E">
          <w:rPr>
            <w:rStyle w:val="Hyperkobling"/>
          </w:rPr>
          <w:t>Norges Høyesterett - Beslutning - HR-2019-2020-F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0EA598E4" w14:textId="77777777" w:rsidR="00F36193" w:rsidRDefault="00A0644B">
      <w:pPr>
        <w:pStyle w:val="INNH2"/>
        <w:tabs>
          <w:tab w:val="right" w:leader="dot" w:pos="9456"/>
        </w:tabs>
        <w:ind w:right="1000"/>
        <w:rPr>
          <w:rFonts w:ascii="Calibri" w:hAnsi="Calibri"/>
          <w:noProof/>
        </w:rPr>
      </w:pPr>
      <w:hyperlink w:anchor="_Toc256000001" w:history="1">
        <w:r>
          <w:rPr>
            <w:rStyle w:val="Hyperkobling"/>
          </w:rPr>
          <w:t>Innholdsfortegnelse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01E71A81" w14:textId="3B8E5A0B" w:rsidR="00F36193" w:rsidRDefault="00A0644B">
      <w:pPr>
        <w:pStyle w:val="Overskrift2"/>
        <w:spacing w:before="0" w:after="0"/>
        <w:jc w:val="center"/>
        <w:rPr>
          <w:sz w:val="22"/>
        </w:rPr>
      </w:pPr>
      <w:r>
        <w:rPr>
          <w:sz w:val="22"/>
        </w:rPr>
        <w:fldChar w:fldCharType="end"/>
      </w:r>
      <w:bookmarkStart w:id="3" w:name="_GoBack"/>
      <w:bookmarkEnd w:id="3"/>
    </w:p>
    <w:p w14:paraId="19F078C5" w14:textId="77777777" w:rsidR="00F36193" w:rsidRDefault="00F36193">
      <w:pPr>
        <w:rPr>
          <w:sz w:val="6"/>
        </w:rPr>
      </w:pPr>
      <w:bookmarkStart w:id="4" w:name="documentBody"/>
    </w:p>
    <w:p w14:paraId="3955CFFF" w14:textId="77777777" w:rsidR="00F36193" w:rsidRDefault="00A0644B">
      <w:pPr>
        <w:spacing w:before="120"/>
        <w:rPr>
          <w:sz w:val="22"/>
        </w:rPr>
      </w:pPr>
      <w:r>
        <w:rPr>
          <w:sz w:val="22"/>
        </w:rPr>
        <w:t xml:space="preserve">Den 1. november 2019 ble det med hjemmel i </w:t>
      </w:r>
      <w:hyperlink r:id="rId7" w:anchor="reference/lov/1981-05-22-25/§54" w:history="1">
        <w:r>
          <w:rPr>
            <w:sz w:val="22"/>
          </w:rPr>
          <w:t>straffeprosessloven § 54</w:t>
        </w:r>
      </w:hyperlink>
      <w:r>
        <w:rPr>
          <w:sz w:val="22"/>
        </w:rPr>
        <w:t xml:space="preserve"> av rettens formann dommer Webster [...</w:t>
      </w:r>
      <w:r>
        <w:rPr>
          <w:sz w:val="22"/>
        </w:rPr>
        <w:t>] avsagt slik beslutning:</w:t>
      </w:r>
    </w:p>
    <w:p w14:paraId="2C193D7C" w14:textId="77777777" w:rsidR="00F36193" w:rsidRDefault="00F36193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F36193" w14:paraId="3D17CCC3" w14:textId="77777777">
        <w:tc>
          <w:tcPr>
            <w:tcW w:w="720" w:type="dxa"/>
            <w:noWrap/>
            <w:tcMar>
              <w:right w:w="80" w:type="dxa"/>
            </w:tcMar>
          </w:tcPr>
          <w:p w14:paraId="5F587B56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60808268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>Spørsmålet er om det skal gis tillatelse til lydopptak under ankeforhandlingen i Høyesterett.</w:t>
            </w:r>
          </w:p>
        </w:tc>
      </w:tr>
    </w:tbl>
    <w:p w14:paraId="55172DC7" w14:textId="77777777" w:rsidR="00F36193" w:rsidRDefault="00F36193">
      <w:pPr>
        <w:rPr>
          <w:sz w:val="6"/>
        </w:rPr>
      </w:pPr>
    </w:p>
    <w:p w14:paraId="75441C6F" w14:textId="77777777" w:rsidR="00F36193" w:rsidRDefault="00F36193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F36193" w14:paraId="19423433" w14:textId="77777777">
        <w:tc>
          <w:tcPr>
            <w:tcW w:w="720" w:type="dxa"/>
            <w:noWrap/>
            <w:tcMar>
              <w:right w:w="80" w:type="dxa"/>
            </w:tcMar>
          </w:tcPr>
          <w:p w14:paraId="5103B2CD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15EF52A5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>Ankeforhandlingen er berammet til 7. november 2019 og gjelder anke fra A, født 0.0.1982, over Borgarting lagmannsretts dom 2</w:t>
            </w:r>
            <w:r>
              <w:rPr>
                <w:sz w:val="22"/>
              </w:rPr>
              <w:t>7. juni 2019 i sak nr. 18-147546AST-BORG/02 [</w:t>
            </w:r>
            <w:hyperlink r:id="rId8" w:anchor="reference/avgjorelse/lb-2018-147546" w:history="1">
              <w:r>
                <w:rPr>
                  <w:sz w:val="22"/>
                </w:rPr>
                <w:t>LB-2018-147546</w:t>
              </w:r>
            </w:hyperlink>
            <w:r>
              <w:rPr>
                <w:sz w:val="22"/>
              </w:rPr>
              <w:t>]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. Anken gjelder straffutmålingen.</w:t>
            </w:r>
          </w:p>
        </w:tc>
      </w:tr>
    </w:tbl>
    <w:p w14:paraId="1BD93B1B" w14:textId="77777777" w:rsidR="00F36193" w:rsidRDefault="00F36193">
      <w:pPr>
        <w:rPr>
          <w:sz w:val="6"/>
        </w:rPr>
      </w:pPr>
    </w:p>
    <w:p w14:paraId="77BD4595" w14:textId="77777777" w:rsidR="00F36193" w:rsidRDefault="00F36193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F36193" w14:paraId="0CEB79F6" w14:textId="77777777">
        <w:tc>
          <w:tcPr>
            <w:tcW w:w="720" w:type="dxa"/>
            <w:noWrap/>
            <w:tcMar>
              <w:right w:w="80" w:type="dxa"/>
            </w:tcMar>
          </w:tcPr>
          <w:p w14:paraId="33236FF9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718B6D42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 xml:space="preserve">Bergens Tidende søkte 30. oktober 2019 om å gjøre lydopptak i rettssalen i forkant av forhandlingenes oppstart og under forhandlingene. Partene har fått mulighet til å uttale seg, jf. </w:t>
            </w:r>
            <w:hyperlink r:id="rId9" w:anchor="reference/lov/1915-08-13-5/§131a" w:history="1">
              <w:r>
                <w:rPr>
                  <w:sz w:val="22"/>
                </w:rPr>
                <w:t>domstolloven § 131a</w:t>
              </w:r>
            </w:hyperlink>
            <w:r>
              <w:rPr>
                <w:sz w:val="22"/>
              </w:rPr>
              <w:t>, og har ikke hatt innvendinger til at Bergens Tidende gjør lydopptak i tråd med de forutsetninger som er angitt.</w:t>
            </w:r>
          </w:p>
        </w:tc>
      </w:tr>
    </w:tbl>
    <w:p w14:paraId="40B284F2" w14:textId="77777777" w:rsidR="00F36193" w:rsidRDefault="00F36193">
      <w:pPr>
        <w:rPr>
          <w:sz w:val="6"/>
        </w:rPr>
      </w:pPr>
    </w:p>
    <w:p w14:paraId="1BA302B2" w14:textId="77777777" w:rsidR="00F36193" w:rsidRDefault="00F36193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F36193" w14:paraId="6E40987C" w14:textId="77777777">
        <w:tc>
          <w:tcPr>
            <w:tcW w:w="720" w:type="dxa"/>
            <w:noWrap/>
            <w:tcMar>
              <w:right w:w="80" w:type="dxa"/>
            </w:tcMar>
          </w:tcPr>
          <w:p w14:paraId="57AB24C7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5BAED662" w14:textId="77777777" w:rsidR="00F36193" w:rsidRDefault="00A0644B">
            <w:pPr>
              <w:rPr>
                <w:sz w:val="6"/>
              </w:rPr>
            </w:pPr>
            <w:r>
              <w:rPr>
                <w:b/>
                <w:sz w:val="22"/>
              </w:rPr>
              <w:t>Høyesterett bemerker</w:t>
            </w:r>
            <w:r>
              <w:rPr>
                <w:sz w:val="22"/>
              </w:rPr>
              <w:t xml:space="preserve"> at adgangen til å gjøre film- og lydopptak er regulert i </w:t>
            </w:r>
            <w:hyperlink r:id="rId10" w:anchor="reference/lov/1915-08-13-5/§131a" w:history="1">
              <w:r>
                <w:rPr>
                  <w:sz w:val="22"/>
                </w:rPr>
                <w:t>domstolloven § 131a</w:t>
              </w:r>
            </w:hyperlink>
            <w:r>
              <w:rPr>
                <w:sz w:val="22"/>
              </w:rPr>
              <w:t>. Bestemmelsens første og andre ledd lyder:</w:t>
            </w:r>
          </w:p>
          <w:p w14:paraId="5D63639D" w14:textId="77777777" w:rsidR="00F36193" w:rsidRDefault="00A0644B">
            <w:pPr>
              <w:spacing w:before="120"/>
              <w:ind w:left="720"/>
              <w:rPr>
                <w:sz w:val="6"/>
              </w:rPr>
            </w:pPr>
            <w:r>
              <w:rPr>
                <w:sz w:val="22"/>
              </w:rPr>
              <w:t>«Under forhandlingene i straffesaker er fotografering, filmopptak og opptak for radio eller fjernsyn forbudt. [...]</w:t>
            </w:r>
          </w:p>
          <w:p w14:paraId="48F15B19" w14:textId="77777777" w:rsidR="00F36193" w:rsidRDefault="00A0644B">
            <w:pPr>
              <w:spacing w:before="120"/>
              <w:ind w:left="720"/>
              <w:rPr>
                <w:sz w:val="22"/>
              </w:rPr>
            </w:pPr>
            <w:r>
              <w:rPr>
                <w:sz w:val="22"/>
              </w:rPr>
              <w:t>Dersom særlige grunner tale</w:t>
            </w:r>
            <w:r>
              <w:rPr>
                <w:sz w:val="22"/>
              </w:rPr>
              <w:t>r for det, kan retten under hovedforhandlingen gjøre unntak fra forbudet når det ikke kan antas å ha uheldig virkning for behandlingen av saken og heller ikke andre hensyn taler avgjørende imot.»</w:t>
            </w:r>
          </w:p>
        </w:tc>
      </w:tr>
    </w:tbl>
    <w:p w14:paraId="3F26B50C" w14:textId="77777777" w:rsidR="00F36193" w:rsidRDefault="00F36193">
      <w:pPr>
        <w:rPr>
          <w:sz w:val="6"/>
        </w:rPr>
      </w:pPr>
    </w:p>
    <w:p w14:paraId="4AFC6BB2" w14:textId="77777777" w:rsidR="00F36193" w:rsidRDefault="00F36193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F36193" w14:paraId="36A6E3C3" w14:textId="77777777">
        <w:tc>
          <w:tcPr>
            <w:tcW w:w="720" w:type="dxa"/>
            <w:noWrap/>
            <w:tcMar>
              <w:right w:w="80" w:type="dxa"/>
            </w:tcMar>
          </w:tcPr>
          <w:p w14:paraId="50BC5970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64C00C5B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 xml:space="preserve">Nærmere vilkår er fastsatt i </w:t>
            </w:r>
            <w:hyperlink r:id="rId11" w:anchor="reference/forskrift/1985-11-15-1910" w:history="1">
              <w:r>
                <w:rPr>
                  <w:sz w:val="22"/>
                </w:rPr>
                <w:t>forskrift om fotografering, filmopptak og opptak for radio eller fjernsyn under hovedforhandling i straffesak</w:t>
              </w:r>
            </w:hyperlink>
            <w:r>
              <w:rPr>
                <w:sz w:val="22"/>
              </w:rPr>
              <w:t xml:space="preserve">. Av </w:t>
            </w:r>
            <w:hyperlink r:id="rId12" w:anchor="reference/forskrift/1985-11-15-1910/§3" w:history="1">
              <w:r>
                <w:rPr>
                  <w:sz w:val="22"/>
                </w:rPr>
                <w:t>forskriften § 3</w:t>
              </w:r>
            </w:hyperlink>
            <w:r>
              <w:rPr>
                <w:sz w:val="22"/>
              </w:rPr>
              <w:t xml:space="preserve"> første ledd bokstav a og c fremkommer det at retten kan tillate opptak når opptaket «skjer i undervisningsøyemed» eller det foreligger «andre særlige grunner». I bestemmelsens andre le</w:t>
            </w:r>
            <w:r>
              <w:rPr>
                <w:sz w:val="22"/>
              </w:rPr>
              <w:t>dd heter det at tillatelse likevel ikke skal gis når «opptaket kan antas å få uheldig virkning for behandlingen av saken». Tillatelse skal også nektes når «opptak av andre grunner vil medføre en urimelig belastning for tiltalte, hans nærmeste eller for and</w:t>
            </w:r>
            <w:r>
              <w:rPr>
                <w:sz w:val="22"/>
              </w:rPr>
              <w:t>re berørte som deltar i saken».</w:t>
            </w:r>
          </w:p>
        </w:tc>
      </w:tr>
    </w:tbl>
    <w:p w14:paraId="3B7C8E7A" w14:textId="77777777" w:rsidR="00F36193" w:rsidRDefault="00F36193">
      <w:pPr>
        <w:rPr>
          <w:sz w:val="6"/>
        </w:rPr>
      </w:pPr>
    </w:p>
    <w:p w14:paraId="3472A19B" w14:textId="77777777" w:rsidR="00F36193" w:rsidRDefault="00F36193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119"/>
      </w:tblGrid>
      <w:tr w:rsidR="00F36193" w14:paraId="515B8F5E" w14:textId="77777777">
        <w:tc>
          <w:tcPr>
            <w:tcW w:w="720" w:type="dxa"/>
            <w:noWrap/>
            <w:tcMar>
              <w:right w:w="80" w:type="dxa"/>
            </w:tcMar>
          </w:tcPr>
          <w:p w14:paraId="2CAE957F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>(6)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40A9E8FA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 xml:space="preserve">Etter Høyesteretts syn foreligger det «særlige grunner» som taler for å gjøre unntak fra forbudet mot lydopptak i dette tilfellet. Det er opplyst at formålet med opptaket er å høre Høyesteretts generelle </w:t>
            </w:r>
            <w:r>
              <w:rPr>
                <w:sz w:val="22"/>
              </w:rPr>
              <w:t xml:space="preserve">innledning i rettssaker og lyder fra en rettssal i forkant av at saken starter. Opptaket skal brukes i en podkastserie om viktige rettssaker. Det er opplyst at saken er tilfeldig utvalgt på grunn av dato for forhandlingene. Sakens tema eller sakens parter </w:t>
            </w:r>
            <w:r>
              <w:rPr>
                <w:sz w:val="22"/>
              </w:rPr>
              <w:t>er ikke relevant for opptakene, og vil ikke bli gjengitt i podkasten.</w:t>
            </w:r>
          </w:p>
        </w:tc>
      </w:tr>
    </w:tbl>
    <w:p w14:paraId="4097ED1A" w14:textId="77777777" w:rsidR="00F36193" w:rsidRDefault="00F36193">
      <w:pPr>
        <w:rPr>
          <w:sz w:val="6"/>
        </w:rPr>
      </w:pPr>
    </w:p>
    <w:p w14:paraId="1F6FE420" w14:textId="77777777" w:rsidR="00F36193" w:rsidRDefault="00F36193">
      <w:pPr>
        <w:rPr>
          <w:sz w:val="22"/>
        </w:rPr>
      </w:pPr>
    </w:p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9174"/>
      </w:tblGrid>
      <w:tr w:rsidR="00F36193" w14:paraId="547B47B4" w14:textId="77777777">
        <w:tc>
          <w:tcPr>
            <w:tcW w:w="720" w:type="dxa"/>
            <w:noWrap/>
            <w:tcMar>
              <w:right w:w="80" w:type="dxa"/>
            </w:tcMar>
          </w:tcPr>
          <w:p w14:paraId="228F65C3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>(7)</w:t>
            </w:r>
          </w:p>
        </w:tc>
        <w:tc>
          <w:tcPr>
            <w:tcW w:w="8786" w:type="dxa"/>
            <w:noWrap/>
            <w:tcMar>
              <w:right w:w="80" w:type="dxa"/>
            </w:tcMar>
          </w:tcPr>
          <w:p w14:paraId="723F9DEA" w14:textId="77777777" w:rsidR="00F36193" w:rsidRDefault="00A0644B">
            <w:pPr>
              <w:rPr>
                <w:sz w:val="22"/>
              </w:rPr>
            </w:pPr>
            <w:r>
              <w:rPr>
                <w:sz w:val="22"/>
              </w:rPr>
              <w:t>Bergens Tidende gis etter dette tillatelse til å foreta lydopptak under ankeforhandlingen i saken.</w:t>
            </w:r>
          </w:p>
          <w:p w14:paraId="0D99FD11" w14:textId="77777777" w:rsidR="00F36193" w:rsidRDefault="00F36193">
            <w:pPr>
              <w:rPr>
                <w:sz w:val="6"/>
              </w:rPr>
            </w:pPr>
          </w:p>
          <w:p w14:paraId="678E2DBF" w14:textId="77777777" w:rsidR="00F36193" w:rsidRDefault="00A0644B">
            <w:pPr>
              <w:spacing w:before="120"/>
              <w:ind w:left="360" w:firstLine="180"/>
              <w:jc w:val="center"/>
              <w:rPr>
                <w:i/>
                <w:sz w:val="6"/>
              </w:rPr>
            </w:pPr>
            <w:r>
              <w:rPr>
                <w:i/>
                <w:sz w:val="22"/>
              </w:rPr>
              <w:t>SLUTNING</w:t>
            </w:r>
          </w:p>
          <w:p w14:paraId="547DD78B" w14:textId="77777777" w:rsidR="00F36193" w:rsidRDefault="00A0644B">
            <w:pPr>
              <w:spacing w:before="120"/>
              <w:rPr>
                <w:sz w:val="22"/>
              </w:rPr>
            </w:pPr>
            <w:r>
              <w:rPr>
                <w:i/>
                <w:sz w:val="22"/>
              </w:rPr>
              <w:t>Bergens Tidende gis tillatelse til å foreta lydopptak under ankeforhan</w:t>
            </w:r>
            <w:r>
              <w:rPr>
                <w:i/>
                <w:sz w:val="22"/>
              </w:rPr>
              <w:t xml:space="preserve">dlingen i saken. </w:t>
            </w:r>
          </w:p>
          <w:p w14:paraId="7AC2E38F" w14:textId="77777777" w:rsidR="00F36193" w:rsidRDefault="00F36193">
            <w:pPr>
              <w:spacing w:before="120"/>
              <w:rPr>
                <w:sz w:val="22"/>
              </w:rPr>
            </w:pPr>
          </w:p>
          <w:p w14:paraId="21A0CCA7" w14:textId="77777777" w:rsidR="00F36193" w:rsidRDefault="00F36193">
            <w:pPr>
              <w:spacing w:before="120"/>
              <w:rPr>
                <w:sz w:val="6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8746"/>
            </w:tblGrid>
            <w:tr w:rsidR="00F36193" w14:paraId="2E02BB0F" w14:textId="77777777">
              <w:tc>
                <w:tcPr>
                  <w:tcW w:w="360" w:type="dxa"/>
                  <w:noWrap/>
                  <w:tcMar>
                    <w:right w:w="80" w:type="dxa"/>
                  </w:tcMar>
                </w:tcPr>
                <w:p w14:paraId="30D7E521" w14:textId="77777777" w:rsidR="00F36193" w:rsidRDefault="00A0644B">
                  <w:pPr>
                    <w:pStyle w:val="Fotnotetekst"/>
                    <w:spacing w:before="2" w:after="2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9146" w:type="dxa"/>
                  <w:noWrap/>
                  <w:tcMar>
                    <w:right w:w="80" w:type="dxa"/>
                  </w:tcMar>
                </w:tcPr>
                <w:p w14:paraId="657E013F" w14:textId="77777777" w:rsidR="00F36193" w:rsidRDefault="00A0644B">
                  <w:pPr>
                    <w:pStyle w:val="Fotnotetekst"/>
                    <w:spacing w:before="2" w:after="2"/>
                    <w:rPr>
                      <w:sz w:val="18"/>
                    </w:rPr>
                  </w:pPr>
                  <w:r>
                    <w:rPr>
                      <w:sz w:val="18"/>
                    </w:rPr>
                    <w:t>Tilføyd av Lovdata.</w:t>
                  </w:r>
                </w:p>
              </w:tc>
            </w:tr>
          </w:tbl>
          <w:p w14:paraId="39CEFAE0" w14:textId="77777777" w:rsidR="00F36193" w:rsidRDefault="00F36193">
            <w:pPr>
              <w:rPr>
                <w:sz w:val="22"/>
              </w:rPr>
            </w:pPr>
          </w:p>
        </w:tc>
      </w:tr>
      <w:bookmarkEnd w:id="4"/>
    </w:tbl>
    <w:p w14:paraId="187AA68D" w14:textId="77777777" w:rsidR="00F36193" w:rsidRDefault="00F36193">
      <w:pPr>
        <w:rPr>
          <w:sz w:val="22"/>
        </w:rPr>
      </w:pPr>
    </w:p>
    <w:sectPr w:rsidR="00F36193">
      <w:headerReference w:type="default" r:id="rId13"/>
      <w:footerReference w:type="default" r:id="rId14"/>
      <w:pgSz w:w="11906" w:h="16838"/>
      <w:pgMar w:top="1020" w:right="1020" w:bottom="102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4B318" w14:textId="77777777" w:rsidR="00000000" w:rsidRDefault="00A0644B">
      <w:r>
        <w:separator/>
      </w:r>
    </w:p>
  </w:endnote>
  <w:endnote w:type="continuationSeparator" w:id="0">
    <w:p w14:paraId="6A6BC9B7" w14:textId="77777777" w:rsidR="00000000" w:rsidRDefault="00A0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D606" w14:textId="77777777" w:rsidR="00F36193" w:rsidRDefault="00A0644B">
    <w:pPr>
      <w:jc w:val="center"/>
      <w:rPr>
        <w:sz w:val="22"/>
      </w:rPr>
    </w:pPr>
    <w:r>
      <w:rPr>
        <w:sz w:val="22"/>
      </w:rPr>
      <w:t xml:space="preserve"> </w:t>
    </w:r>
  </w:p>
  <w:p w14:paraId="125E7CD3" w14:textId="77777777" w:rsidR="00F36193" w:rsidRDefault="00A0644B">
    <w:pPr>
      <w:jc w:val="center"/>
      <w:rPr>
        <w:sz w:val="22"/>
      </w:rPr>
    </w:pPr>
    <w:r>
      <w:rPr>
        <w:sz w:val="22"/>
      </w:rPr>
      <w:t>HR-2019-2020-F</w:t>
    </w:r>
  </w:p>
  <w:p w14:paraId="4DE7598F" w14:textId="77777777" w:rsidR="00F36193" w:rsidRDefault="00A0644B">
    <w:pPr>
      <w:jc w:val="center"/>
      <w:rPr>
        <w:sz w:val="22"/>
      </w:rPr>
    </w:pPr>
    <w:r>
      <w:rPr>
        <w:sz w:val="22"/>
      </w:rPr>
      <w:t xml:space="preserve">Side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>
      <w:rPr>
        <w:sz w:val="22"/>
      </w:rPr>
      <w:t>3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69BD3" w14:textId="77777777" w:rsidR="00000000" w:rsidRDefault="00A0644B">
      <w:r>
        <w:separator/>
      </w:r>
    </w:p>
  </w:footnote>
  <w:footnote w:type="continuationSeparator" w:id="0">
    <w:p w14:paraId="4702BD27" w14:textId="77777777" w:rsidR="00000000" w:rsidRDefault="00A0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6A29" w14:textId="77777777" w:rsidR="00F36193" w:rsidRDefault="00A0644B">
    <w:pPr>
      <w:jc w:val="right"/>
      <w:rPr>
        <w:sz w:val="22"/>
      </w:rPr>
    </w:pPr>
    <w:r>
      <w:rPr>
        <w:sz w:val="22"/>
      </w:rPr>
      <w:t>Utskrift fra Lovdata - 11.11.2019 10:33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0644B"/>
    <w:rsid w:val="00A77B3E"/>
    <w:rsid w:val="00CA2A55"/>
    <w:rsid w:val="00F3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641D22"/>
  <w15:docId w15:val="{AF7AC99D-91B8-4EE3-A07A-EA41672B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F7B96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EF7B96"/>
    <w:pPr>
      <w:spacing w:before="240" w:after="60"/>
      <w:outlineLvl w:val="7"/>
    </w:pPr>
    <w:rPr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rsid w:val="00805BCE"/>
    <w:rPr>
      <w:b/>
      <w:sz w:val="22"/>
    </w:rPr>
  </w:style>
  <w:style w:type="paragraph" w:styleId="INNH2">
    <w:name w:val="toc 2"/>
    <w:basedOn w:val="Normal"/>
    <w:next w:val="Normal"/>
    <w:autoRedefine/>
    <w:rsid w:val="00805BCE"/>
    <w:pPr>
      <w:ind w:left="240"/>
    </w:pPr>
    <w:rPr>
      <w:b/>
      <w:sz w:val="22"/>
    </w:rPr>
  </w:style>
  <w:style w:type="paragraph" w:styleId="INNH3">
    <w:name w:val="toc 3"/>
    <w:basedOn w:val="Normal"/>
    <w:next w:val="Normal"/>
    <w:autoRedefine/>
    <w:rsid w:val="00805BCE"/>
    <w:pPr>
      <w:ind w:left="480"/>
    </w:pPr>
    <w:rPr>
      <w:b/>
      <w:sz w:val="22"/>
    </w:rPr>
  </w:style>
  <w:style w:type="paragraph" w:styleId="INNH4">
    <w:name w:val="toc 4"/>
    <w:basedOn w:val="Normal"/>
    <w:next w:val="Normal"/>
    <w:autoRedefine/>
    <w:rsid w:val="00805BCE"/>
    <w:pPr>
      <w:ind w:left="720"/>
    </w:pPr>
    <w:rPr>
      <w:b/>
      <w:sz w:val="22"/>
    </w:rPr>
  </w:style>
  <w:style w:type="paragraph" w:styleId="INNH5">
    <w:name w:val="toc 5"/>
    <w:basedOn w:val="Normal"/>
    <w:next w:val="Normal"/>
    <w:autoRedefine/>
    <w:rsid w:val="00805BCE"/>
    <w:pPr>
      <w:ind w:left="960"/>
    </w:pPr>
    <w:rPr>
      <w:b/>
      <w:sz w:val="22"/>
    </w:rPr>
  </w:style>
  <w:style w:type="paragraph" w:styleId="INNH6">
    <w:name w:val="toc 6"/>
    <w:basedOn w:val="Normal"/>
    <w:next w:val="Normal"/>
    <w:autoRedefine/>
    <w:rsid w:val="00805BCE"/>
    <w:pPr>
      <w:ind w:left="1200"/>
    </w:pPr>
    <w:rPr>
      <w:b/>
      <w:sz w:val="22"/>
    </w:rPr>
  </w:style>
  <w:style w:type="paragraph" w:styleId="INNH7">
    <w:name w:val="toc 7"/>
    <w:basedOn w:val="Normal"/>
    <w:next w:val="Normal"/>
    <w:autoRedefine/>
    <w:rsid w:val="00805BCE"/>
    <w:pPr>
      <w:ind w:left="1440"/>
    </w:pPr>
    <w:rPr>
      <w:b/>
      <w:sz w:val="22"/>
    </w:rPr>
  </w:style>
  <w:style w:type="paragraph" w:styleId="INNH8">
    <w:name w:val="toc 8"/>
    <w:basedOn w:val="Normal"/>
    <w:next w:val="Normal"/>
    <w:autoRedefine/>
    <w:rsid w:val="00805BCE"/>
    <w:pPr>
      <w:ind w:left="1680"/>
    </w:pPr>
    <w:rPr>
      <w:b/>
      <w:sz w:val="22"/>
    </w:rPr>
  </w:style>
  <w:style w:type="paragraph" w:styleId="INNH9">
    <w:name w:val="toc 9"/>
    <w:basedOn w:val="Normal"/>
    <w:next w:val="Normal"/>
    <w:autoRedefine/>
    <w:rsid w:val="00805BCE"/>
    <w:pPr>
      <w:ind w:left="1920"/>
    </w:pPr>
    <w:rPr>
      <w:b/>
      <w:sz w:val="22"/>
    </w:rPr>
  </w:style>
  <w:style w:type="paragraph" w:styleId="Fotnotetekst">
    <w:name w:val="footnote text"/>
    <w:basedOn w:val="Normal"/>
    <w:rsid w:val="00805BCE"/>
    <w:rPr>
      <w:sz w:val="20"/>
      <w:szCs w:val="20"/>
    </w:rPr>
  </w:style>
  <w:style w:type="character" w:styleId="Hyperkobling">
    <w:name w:val="Hyperlink"/>
    <w:basedOn w:val="Standardskriftforavsnit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data.no/pr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ovdata.no/pro" TargetMode="External"/><Relationship Id="rId12" Type="http://schemas.openxmlformats.org/officeDocument/2006/relationships/hyperlink" Target="http://www.lovdata.no/pr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ovdata.no/pr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lovdata.no/p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vdata.no/p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Norges Høyesterett - Beslutning - HR-2019-2020-F</vt:lpstr>
      <vt:lpstr/>
    </vt:vector>
  </TitlesOfParts>
  <Company>Stiftelsen Lovdata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Norges Høyesterett - Beslutning - HR-2019-2020-F</dc:title>
  <dc:subject>Norges Høyesterett - Beslutning - HR-2019-2020-F</dc:subject>
  <dc:creator>Stiftelsen Lovdata</dc:creator>
  <cp:lastModifiedBy>Arne Jensen</cp:lastModifiedBy>
  <cp:revision>2</cp:revision>
  <dcterms:created xsi:type="dcterms:W3CDTF">2019-11-11T09:33:00Z</dcterms:created>
  <dcterms:modified xsi:type="dcterms:W3CDTF">2019-11-11T09:33:00Z</dcterms:modified>
  <cp:category>Juridisk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faultFont">
    <vt:lpwstr>Times New Roman</vt:lpwstr>
  </property>
  <property fmtid="{D5CDD505-2E9C-101B-9397-08002B2CF9AE}" pid="3" name="Lovdata-UID">
    <vt:i4>17265</vt:i4>
  </property>
</Properties>
</file>