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F68D2" w14:textId="77777777" w:rsidR="000345C1" w:rsidRDefault="000345C1" w:rsidP="000345C1">
      <w:bookmarkStart w:id="0" w:name="_GoBack"/>
      <w:bookmarkEnd w:id="0"/>
      <w:r>
        <w:rPr>
          <w:noProof/>
        </w:rPr>
        <w:drawing>
          <wp:inline distT="0" distB="0" distL="0" distR="0" wp14:anchorId="52D00C46" wp14:editId="1273CACD">
            <wp:extent cx="1411200" cy="468000"/>
            <wp:effectExtent l="0" t="0" r="0" b="8255"/>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1200" cy="468000"/>
                    </a:xfrm>
                    <a:prstGeom prst="rect">
                      <a:avLst/>
                    </a:prstGeom>
                    <a:noFill/>
                    <a:ln>
                      <a:noFill/>
                    </a:ln>
                  </pic:spPr>
                </pic:pic>
              </a:graphicData>
            </a:graphic>
          </wp:inline>
        </w:drawing>
      </w:r>
      <w:r>
        <w:t xml:space="preserve">       </w:t>
      </w:r>
      <w:r>
        <w:rPr>
          <w:noProof/>
        </w:rPr>
        <w:drawing>
          <wp:inline distT="0" distB="0" distL="0" distR="0" wp14:anchorId="7F37C720" wp14:editId="19DF20B8">
            <wp:extent cx="1746000" cy="421200"/>
            <wp:effectExtent l="0" t="0" r="698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sk Redaktørforening-logo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6000" cy="421200"/>
                    </a:xfrm>
                    <a:prstGeom prst="rect">
                      <a:avLst/>
                    </a:prstGeom>
                  </pic:spPr>
                </pic:pic>
              </a:graphicData>
            </a:graphic>
          </wp:inline>
        </w:drawing>
      </w:r>
      <w:r>
        <w:t xml:space="preserve">       </w:t>
      </w:r>
      <w:r>
        <w:rPr>
          <w:noProof/>
        </w:rPr>
        <w:drawing>
          <wp:inline distT="0" distB="0" distL="0" distR="0" wp14:anchorId="1FF703B2" wp14:editId="625576C3">
            <wp:extent cx="2102400" cy="403200"/>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2400" cy="403200"/>
                    </a:xfrm>
                    <a:prstGeom prst="rect">
                      <a:avLst/>
                    </a:prstGeom>
                    <a:noFill/>
                    <a:ln>
                      <a:noFill/>
                    </a:ln>
                  </pic:spPr>
                </pic:pic>
              </a:graphicData>
            </a:graphic>
          </wp:inline>
        </w:drawing>
      </w:r>
    </w:p>
    <w:p w14:paraId="4B35321B" w14:textId="77777777" w:rsidR="000345C1" w:rsidRDefault="000345C1" w:rsidP="000345C1"/>
    <w:p w14:paraId="6C0C1F96" w14:textId="77777777" w:rsidR="00475F45" w:rsidRDefault="00475F45" w:rsidP="006B5514"/>
    <w:p w14:paraId="2824B0A9" w14:textId="77777777" w:rsidR="00FC2940" w:rsidRDefault="0067127B" w:rsidP="000E4DD9">
      <w:pPr>
        <w:pStyle w:val="Ingenmellomrom"/>
        <w:rPr>
          <w:noProof/>
        </w:rPr>
      </w:pPr>
      <w:r>
        <w:rPr>
          <w:noProof/>
        </w:rPr>
        <w:t>Justis- og beredskapsdepartementet</w:t>
      </w:r>
    </w:p>
    <w:p w14:paraId="2299FDEA" w14:textId="77777777" w:rsidR="00ED6587" w:rsidRDefault="00ED6587" w:rsidP="000E4DD9">
      <w:pPr>
        <w:pStyle w:val="Ingenmellomrom"/>
      </w:pPr>
    </w:p>
    <w:sdt>
      <w:sdtPr>
        <w:id w:val="1858074503"/>
        <w:placeholder>
          <w:docPart w:val="1EE092E300F84E099B41EC8068D1CBCD"/>
        </w:placeholder>
        <w:date w:fullDate="2019-09-26T00:00:00Z">
          <w:dateFormat w:val="d. MMMM yyyy"/>
          <w:lid w:val="nb-NO"/>
          <w:storeMappedDataAs w:val="dateTime"/>
          <w:calendar w:val="gregorian"/>
        </w:date>
      </w:sdtPr>
      <w:sdtEndPr/>
      <w:sdtContent>
        <w:p w14:paraId="08AECE88" w14:textId="7A7971F9" w:rsidR="006B5514" w:rsidRDefault="00481CD8" w:rsidP="0008269A">
          <w:pPr>
            <w:pStyle w:val="Ingenmellomrom"/>
            <w:jc w:val="right"/>
          </w:pPr>
          <w:r>
            <w:t>26</w:t>
          </w:r>
          <w:r w:rsidR="0067127B">
            <w:t xml:space="preserve">. </w:t>
          </w:r>
          <w:r>
            <w:t>september</w:t>
          </w:r>
          <w:r w:rsidR="0067127B">
            <w:t xml:space="preserve"> 2019</w:t>
          </w:r>
        </w:p>
      </w:sdtContent>
    </w:sdt>
    <w:p w14:paraId="3535E6B0" w14:textId="77777777" w:rsidR="0008269A" w:rsidRDefault="0067127B" w:rsidP="0008269A">
      <w:pPr>
        <w:pStyle w:val="Ingenmellomrom"/>
        <w:jc w:val="right"/>
        <w:rPr>
          <w:noProof/>
        </w:rPr>
      </w:pPr>
      <w:r>
        <w:rPr>
          <w:noProof/>
        </w:rPr>
        <w:t xml:space="preserve">Deres </w:t>
      </w:r>
      <w:r w:rsidR="000B4046">
        <w:rPr>
          <w:noProof/>
        </w:rPr>
        <w:t xml:space="preserve">referanse: </w:t>
      </w:r>
      <w:r>
        <w:rPr>
          <w:noProof/>
        </w:rPr>
        <w:t>19/427</w:t>
      </w:r>
    </w:p>
    <w:p w14:paraId="6FDFB903" w14:textId="77777777" w:rsidR="0008269A" w:rsidRDefault="0008269A" w:rsidP="006B5514">
      <w:pPr>
        <w:jc w:val="right"/>
      </w:pPr>
    </w:p>
    <w:p w14:paraId="74C9A870" w14:textId="77777777" w:rsidR="00FC2940" w:rsidRPr="00104C99" w:rsidRDefault="002A310F" w:rsidP="002A310F">
      <w:pPr>
        <w:pStyle w:val="Overskrift2"/>
        <w:jc w:val="center"/>
        <w:rPr>
          <w:noProof/>
          <w:color w:val="FF0000"/>
        </w:rPr>
      </w:pPr>
      <w:r w:rsidRPr="00104C99">
        <w:rPr>
          <w:noProof/>
          <w:color w:val="FF0000"/>
        </w:rPr>
        <w:t>Høring – kommunikasjonskontroll i nødssituasjoner</w:t>
      </w:r>
    </w:p>
    <w:p w14:paraId="774FD6BB" w14:textId="77777777" w:rsidR="006B5514" w:rsidRDefault="006B5514" w:rsidP="000E4DD9"/>
    <w:p w14:paraId="4CEDC27D" w14:textId="77777777" w:rsidR="00804F1F" w:rsidRPr="00104C99" w:rsidRDefault="00804F1F" w:rsidP="00804F1F">
      <w:pPr>
        <w:pStyle w:val="Listeavsnitt"/>
        <w:numPr>
          <w:ilvl w:val="0"/>
          <w:numId w:val="1"/>
        </w:numPr>
        <w:rPr>
          <w:b/>
          <w:bCs/>
          <w:noProof/>
          <w:color w:val="FF0000"/>
        </w:rPr>
      </w:pPr>
      <w:r w:rsidRPr="00104C99">
        <w:rPr>
          <w:b/>
          <w:bCs/>
          <w:noProof/>
          <w:color w:val="FF0000"/>
        </w:rPr>
        <w:t>Innledning</w:t>
      </w:r>
    </w:p>
    <w:p w14:paraId="584B074E" w14:textId="1D3040BF" w:rsidR="00CC1B42" w:rsidRDefault="004C34AE" w:rsidP="000E4DD9">
      <w:pPr>
        <w:rPr>
          <w:noProof/>
        </w:rPr>
      </w:pPr>
      <w:r>
        <w:rPr>
          <w:noProof/>
        </w:rPr>
        <w:t xml:space="preserve">Norsk Presseforbund (NP) er fellesorganet for norske medier i etiske og redaksjonelt faglige spørsmål. Norsk Redaktørforening (NR) er en landsomfattende sammenslutning av redaktører i alle typer medier. </w:t>
      </w:r>
      <w:r w:rsidR="0076779F">
        <w:rPr>
          <w:noProof/>
        </w:rPr>
        <w:t xml:space="preserve">Norsk Journalistlag (NJ) er organisasjonen for redaksjonelle medarbeidere, herunder ledere og frilansere, som har journalistikk som yrke. </w:t>
      </w:r>
    </w:p>
    <w:p w14:paraId="0D3D178D" w14:textId="68B79EDE" w:rsidR="00BE2778" w:rsidRDefault="0076779F" w:rsidP="00BE2778">
      <w:pPr>
        <w:rPr>
          <w:noProof/>
        </w:rPr>
      </w:pPr>
      <w:r>
        <w:rPr>
          <w:noProof/>
        </w:rPr>
        <w:t>Alle tre organisasjone</w:t>
      </w:r>
      <w:r w:rsidR="00F45D3F">
        <w:rPr>
          <w:noProof/>
        </w:rPr>
        <w:t xml:space="preserve">r </w:t>
      </w:r>
      <w:r>
        <w:rPr>
          <w:noProof/>
        </w:rPr>
        <w:t>skal blant annet verne om ytringsfriheten og den redaksjonelle uavhengigheten</w:t>
      </w:r>
      <w:r w:rsidR="004C34AE">
        <w:rPr>
          <w:noProof/>
        </w:rPr>
        <w:t xml:space="preserve">, </w:t>
      </w:r>
      <w:r w:rsidR="00804F1F">
        <w:rPr>
          <w:noProof/>
        </w:rPr>
        <w:t xml:space="preserve">og vår </w:t>
      </w:r>
      <w:r w:rsidR="004C34AE">
        <w:rPr>
          <w:noProof/>
        </w:rPr>
        <w:t xml:space="preserve">fokus i denne felles </w:t>
      </w:r>
      <w:r w:rsidR="00E376BE">
        <w:rPr>
          <w:noProof/>
        </w:rPr>
        <w:t>høringsuttalelse</w:t>
      </w:r>
      <w:r w:rsidR="004C34AE">
        <w:rPr>
          <w:noProof/>
        </w:rPr>
        <w:t>n er forslaget</w:t>
      </w:r>
      <w:r w:rsidR="00804F1F">
        <w:rPr>
          <w:noProof/>
        </w:rPr>
        <w:t>s</w:t>
      </w:r>
      <w:r w:rsidR="004C34AE">
        <w:rPr>
          <w:noProof/>
        </w:rPr>
        <w:t xml:space="preserve"> manglende beskyttelse av </w:t>
      </w:r>
      <w:r w:rsidR="00C175EC">
        <w:rPr>
          <w:noProof/>
        </w:rPr>
        <w:t xml:space="preserve">medienes </w:t>
      </w:r>
      <w:r w:rsidR="004C34AE">
        <w:rPr>
          <w:noProof/>
        </w:rPr>
        <w:t xml:space="preserve">vern </w:t>
      </w:r>
      <w:r w:rsidR="00AB5814">
        <w:rPr>
          <w:noProof/>
        </w:rPr>
        <w:t xml:space="preserve">av </w:t>
      </w:r>
      <w:r w:rsidR="004C34AE">
        <w:rPr>
          <w:noProof/>
        </w:rPr>
        <w:t>anonyme kilder.</w:t>
      </w:r>
      <w:r w:rsidR="00111D51">
        <w:rPr>
          <w:noProof/>
        </w:rPr>
        <w:t xml:space="preserve"> </w:t>
      </w:r>
      <w:r w:rsidR="00BE2778">
        <w:rPr>
          <w:noProof/>
        </w:rPr>
        <w:t>Innføring av forslaget vil etter vår oppfatning kunne medføre en nedkjølingseffekt som begrenser ytringsfriheten. Det kan innebære at enkeltpersoner vil avstå fra å ytre seg om forhold de ellers ville hatt synspunkter på</w:t>
      </w:r>
      <w:r w:rsidR="00AB5814">
        <w:rPr>
          <w:noProof/>
        </w:rPr>
        <w:t xml:space="preserve"> og/eller viktig informasjon om</w:t>
      </w:r>
      <w:r w:rsidR="00BE2778">
        <w:rPr>
          <w:noProof/>
        </w:rPr>
        <w:t xml:space="preserve">. </w:t>
      </w:r>
      <w:r w:rsidR="00CF1555">
        <w:rPr>
          <w:noProof/>
        </w:rPr>
        <w:t>Vårt hovedbudskap er derfor at l</w:t>
      </w:r>
      <w:r w:rsidR="00BE2778">
        <w:rPr>
          <w:noProof/>
        </w:rPr>
        <w:t xml:space="preserve">ovgiver i større grad </w:t>
      </w:r>
      <w:r w:rsidR="008518ED">
        <w:rPr>
          <w:noProof/>
        </w:rPr>
        <w:t xml:space="preserve">enn foreliggende lovutkast </w:t>
      </w:r>
      <w:r w:rsidR="00CF1555">
        <w:rPr>
          <w:noProof/>
        </w:rPr>
        <w:t xml:space="preserve">må </w:t>
      </w:r>
      <w:r w:rsidR="00BE2778">
        <w:rPr>
          <w:noProof/>
        </w:rPr>
        <w:t xml:space="preserve">sikre beskyttelse av konfidensialitet. </w:t>
      </w:r>
    </w:p>
    <w:p w14:paraId="0A9DEDB8" w14:textId="77777777" w:rsidR="00804F1F" w:rsidRDefault="00804F1F" w:rsidP="000E4DD9">
      <w:pPr>
        <w:rPr>
          <w:noProof/>
        </w:rPr>
      </w:pPr>
    </w:p>
    <w:p w14:paraId="67B5525B" w14:textId="77777777" w:rsidR="00804F1F" w:rsidRPr="00104C99" w:rsidRDefault="00DE263A" w:rsidP="00F45D3F">
      <w:pPr>
        <w:pStyle w:val="Listeavsnitt"/>
        <w:numPr>
          <w:ilvl w:val="0"/>
          <w:numId w:val="1"/>
        </w:numPr>
        <w:rPr>
          <w:b/>
          <w:bCs/>
          <w:noProof/>
          <w:color w:val="FF0000"/>
        </w:rPr>
      </w:pPr>
      <w:r w:rsidRPr="00104C99">
        <w:rPr>
          <w:b/>
          <w:bCs/>
          <w:noProof/>
          <w:color w:val="FF0000"/>
        </w:rPr>
        <w:t>Behovet for lovregulering av kommunikasjonskontroll i nødssituasjoner</w:t>
      </w:r>
    </w:p>
    <w:p w14:paraId="322554D6" w14:textId="00147348" w:rsidR="005F344E" w:rsidRDefault="00F45D3F" w:rsidP="005F344E">
      <w:pPr>
        <w:rPr>
          <w:noProof/>
        </w:rPr>
      </w:pPr>
      <w:r>
        <w:rPr>
          <w:noProof/>
        </w:rPr>
        <w:t>Presseorganisasjonene er i utgangspunktet positive til at bruk av kommunikasjonskontroll i nødssituasjoner nedfelles i lovs form</w:t>
      </w:r>
      <w:r w:rsidR="00AE0C0E">
        <w:rPr>
          <w:noProof/>
        </w:rPr>
        <w:t xml:space="preserve">. </w:t>
      </w:r>
      <w:r>
        <w:rPr>
          <w:noProof/>
        </w:rPr>
        <w:t>Når statistikk</w:t>
      </w:r>
      <w:r w:rsidR="00CF1555">
        <w:rPr>
          <w:noProof/>
        </w:rPr>
        <w:t>,</w:t>
      </w:r>
      <w:r>
        <w:rPr>
          <w:noProof/>
        </w:rPr>
        <w:t xml:space="preserve"> som er vedlagt høringsnotatet</w:t>
      </w:r>
      <w:r w:rsidR="00CF1555">
        <w:rPr>
          <w:noProof/>
        </w:rPr>
        <w:t>,</w:t>
      </w:r>
      <w:r>
        <w:rPr>
          <w:noProof/>
        </w:rPr>
        <w:t xml:space="preserve"> viser at slik kommunikasjonskontroll i dag skjer i så stort omfang uten noen form for domstolkontroll – verken før, under e</w:t>
      </w:r>
      <w:r w:rsidR="00AB5814">
        <w:rPr>
          <w:noProof/>
        </w:rPr>
        <w:t xml:space="preserve">ller </w:t>
      </w:r>
      <w:r>
        <w:rPr>
          <w:noProof/>
        </w:rPr>
        <w:t xml:space="preserve">etter metodebruken – er dette </w:t>
      </w:r>
      <w:r w:rsidR="005F344E">
        <w:rPr>
          <w:noProof/>
        </w:rPr>
        <w:t xml:space="preserve">etter vår mening </w:t>
      </w:r>
      <w:r w:rsidR="00CF1555">
        <w:rPr>
          <w:noProof/>
        </w:rPr>
        <w:t>urovekkende</w:t>
      </w:r>
      <w:r>
        <w:rPr>
          <w:noProof/>
        </w:rPr>
        <w:t xml:space="preserve">. </w:t>
      </w:r>
      <w:r w:rsidR="008518ED">
        <w:rPr>
          <w:noProof/>
        </w:rPr>
        <w:t>Det innebærer at d</w:t>
      </w:r>
      <w:r w:rsidR="005F344E">
        <w:rPr>
          <w:noProof/>
        </w:rPr>
        <w:t xml:space="preserve">omstolen </w:t>
      </w:r>
      <w:r w:rsidR="008518ED">
        <w:rPr>
          <w:noProof/>
        </w:rPr>
        <w:t xml:space="preserve">ikke har </w:t>
      </w:r>
      <w:r w:rsidR="00A24949">
        <w:rPr>
          <w:noProof/>
        </w:rPr>
        <w:t xml:space="preserve">anledning til å </w:t>
      </w:r>
      <w:r w:rsidR="005F344E">
        <w:rPr>
          <w:noProof/>
        </w:rPr>
        <w:t xml:space="preserve">kontrollere om </w:t>
      </w:r>
      <w:r w:rsidR="00A24949">
        <w:rPr>
          <w:noProof/>
        </w:rPr>
        <w:t xml:space="preserve">dagens bruk </w:t>
      </w:r>
      <w:r w:rsidR="005F344E">
        <w:rPr>
          <w:noProof/>
        </w:rPr>
        <w:t>oppfyller det påkrevde forholdsmessighetsprinsippet</w:t>
      </w:r>
      <w:r w:rsidR="00C175EC">
        <w:rPr>
          <w:noProof/>
        </w:rPr>
        <w:t xml:space="preserve">, </w:t>
      </w:r>
      <w:r w:rsidR="008518ED">
        <w:rPr>
          <w:noProof/>
        </w:rPr>
        <w:t xml:space="preserve">eller </w:t>
      </w:r>
      <w:r w:rsidR="00C175EC">
        <w:rPr>
          <w:noProof/>
        </w:rPr>
        <w:t xml:space="preserve">avverge </w:t>
      </w:r>
      <w:r w:rsidR="00A24949">
        <w:rPr>
          <w:noProof/>
        </w:rPr>
        <w:t>skadevirkninge</w:t>
      </w:r>
      <w:r w:rsidR="00C175EC">
        <w:rPr>
          <w:noProof/>
        </w:rPr>
        <w:t>ne</w:t>
      </w:r>
      <w:r w:rsidR="00A24949">
        <w:rPr>
          <w:noProof/>
        </w:rPr>
        <w:t xml:space="preserve"> denne kommunikasjonskontrollen </w:t>
      </w:r>
      <w:r w:rsidR="00C175EC">
        <w:rPr>
          <w:noProof/>
        </w:rPr>
        <w:t xml:space="preserve">kan ha </w:t>
      </w:r>
      <w:r w:rsidR="00A24949">
        <w:rPr>
          <w:noProof/>
        </w:rPr>
        <w:t>på kommunikasjonsvernet. Vår bekymring gjelder s</w:t>
      </w:r>
      <w:r w:rsidR="005F344E">
        <w:rPr>
          <w:noProof/>
        </w:rPr>
        <w:t xml:space="preserve">ærlig anonyme kilders mulighet til å kommunisere fritt med </w:t>
      </w:r>
      <w:r w:rsidR="00674D49">
        <w:rPr>
          <w:noProof/>
        </w:rPr>
        <w:t>de redaktørstyrte journalistiske mediene</w:t>
      </w:r>
      <w:r w:rsidR="005F344E">
        <w:rPr>
          <w:noProof/>
        </w:rPr>
        <w:t xml:space="preserve">. </w:t>
      </w:r>
    </w:p>
    <w:p w14:paraId="5D345F2C" w14:textId="77777777" w:rsidR="005F344E" w:rsidRDefault="005F344E" w:rsidP="00F45D3F">
      <w:pPr>
        <w:rPr>
          <w:noProof/>
        </w:rPr>
      </w:pPr>
    </w:p>
    <w:p w14:paraId="3D33F520" w14:textId="77777777" w:rsidR="00DE263A" w:rsidRPr="00104C99" w:rsidRDefault="00DE263A" w:rsidP="00DE263A">
      <w:pPr>
        <w:pStyle w:val="Listeavsnitt"/>
        <w:numPr>
          <w:ilvl w:val="0"/>
          <w:numId w:val="1"/>
        </w:numPr>
        <w:rPr>
          <w:b/>
          <w:bCs/>
          <w:noProof/>
          <w:color w:val="FF0000"/>
        </w:rPr>
      </w:pPr>
      <w:r w:rsidRPr="00104C99">
        <w:rPr>
          <w:b/>
          <w:bCs/>
          <w:noProof/>
          <w:color w:val="FF0000"/>
        </w:rPr>
        <w:t>Kildevernets rettslige status</w:t>
      </w:r>
    </w:p>
    <w:p w14:paraId="0D4F93CF" w14:textId="08254637" w:rsidR="002A310F" w:rsidRDefault="00111D51" w:rsidP="000E4DD9">
      <w:pPr>
        <w:rPr>
          <w:noProof/>
        </w:rPr>
      </w:pPr>
      <w:r>
        <w:rPr>
          <w:noProof/>
        </w:rPr>
        <w:t xml:space="preserve">Kildevernet sikrer at journalister og redaktører kan nekte å oppgi hvem som er kilde til opplysninger som er betrodd dem. </w:t>
      </w:r>
      <w:r w:rsidR="002A310F">
        <w:rPr>
          <w:noProof/>
        </w:rPr>
        <w:t xml:space="preserve">Anonyme kilders mulighet til å kommunisere fritt med </w:t>
      </w:r>
      <w:r w:rsidR="0066601A">
        <w:rPr>
          <w:noProof/>
        </w:rPr>
        <w:t xml:space="preserve">pressen </w:t>
      </w:r>
      <w:r w:rsidR="002A310F">
        <w:rPr>
          <w:noProof/>
        </w:rPr>
        <w:t>er en menneskerettighet</w:t>
      </w:r>
      <w:r w:rsidR="009A0BFF">
        <w:rPr>
          <w:noProof/>
        </w:rPr>
        <w:t xml:space="preserve"> etter Den europeiske menneskrettskonvensjonen </w:t>
      </w:r>
      <w:r>
        <w:rPr>
          <w:noProof/>
        </w:rPr>
        <w:t xml:space="preserve">(EMK) </w:t>
      </w:r>
      <w:r w:rsidR="009A0BFF">
        <w:rPr>
          <w:noProof/>
        </w:rPr>
        <w:t>artikkel 10 om ytringsfrihet</w:t>
      </w:r>
      <w:r w:rsidR="002A310F">
        <w:rPr>
          <w:noProof/>
        </w:rPr>
        <w:t xml:space="preserve">. </w:t>
      </w:r>
      <w:r w:rsidR="00E804CB">
        <w:rPr>
          <w:noProof/>
        </w:rPr>
        <w:t>For å utøve en fri og uav</w:t>
      </w:r>
      <w:r>
        <w:rPr>
          <w:noProof/>
        </w:rPr>
        <w:t xml:space="preserve">hengig </w:t>
      </w:r>
      <w:r w:rsidR="00E804CB">
        <w:rPr>
          <w:noProof/>
        </w:rPr>
        <w:t>journalistikk er mediene avhengig av at enkeltmennesker tør å videreformidle samfunnsviktig in</w:t>
      </w:r>
      <w:r>
        <w:rPr>
          <w:noProof/>
        </w:rPr>
        <w:t>f</w:t>
      </w:r>
      <w:r w:rsidR="00E804CB">
        <w:rPr>
          <w:noProof/>
        </w:rPr>
        <w:t>ormasjon. I noen situasjoner kan dette bare skje i bytte mot lø</w:t>
      </w:r>
      <w:r w:rsidR="005F344E">
        <w:rPr>
          <w:noProof/>
        </w:rPr>
        <w:t>f</w:t>
      </w:r>
      <w:r w:rsidR="00E804CB">
        <w:rPr>
          <w:noProof/>
        </w:rPr>
        <w:t xml:space="preserve">te om anonymitet. </w:t>
      </w:r>
      <w:r w:rsidR="008518ED">
        <w:rPr>
          <w:noProof/>
        </w:rPr>
        <w:t xml:space="preserve">Kildevernet </w:t>
      </w:r>
      <w:r w:rsidR="002A310F">
        <w:rPr>
          <w:noProof/>
        </w:rPr>
        <w:t>er nødvendig for å få frem in</w:t>
      </w:r>
      <w:r w:rsidR="0076779F">
        <w:rPr>
          <w:noProof/>
        </w:rPr>
        <w:t>f</w:t>
      </w:r>
      <w:r w:rsidR="002A310F">
        <w:rPr>
          <w:noProof/>
        </w:rPr>
        <w:t>orm</w:t>
      </w:r>
      <w:r w:rsidR="0076779F">
        <w:rPr>
          <w:noProof/>
        </w:rPr>
        <w:t>a</w:t>
      </w:r>
      <w:r w:rsidR="002A310F">
        <w:rPr>
          <w:noProof/>
        </w:rPr>
        <w:t>sjon som ellers ville forblitt ukjent</w:t>
      </w:r>
      <w:r w:rsidR="008518ED">
        <w:rPr>
          <w:noProof/>
        </w:rPr>
        <w:t xml:space="preserve">, og er </w:t>
      </w:r>
      <w:r w:rsidR="00E804CB">
        <w:rPr>
          <w:noProof/>
        </w:rPr>
        <w:t xml:space="preserve">derfor begrunnet i demokratihensynet, jf. storkammeravgjørelsen EMD Goodwin 1996 avsnitt 39. </w:t>
      </w:r>
    </w:p>
    <w:p w14:paraId="65A3716F" w14:textId="3996A65D" w:rsidR="00D07879" w:rsidRDefault="006C0A21" w:rsidP="000E4DD9">
      <w:pPr>
        <w:rPr>
          <w:noProof/>
        </w:rPr>
      </w:pPr>
      <w:r>
        <w:rPr>
          <w:noProof/>
        </w:rPr>
        <w:lastRenderedPageBreak/>
        <w:t xml:space="preserve">Vernet om anonyme kilders identitet står sterkt i norsk rett, jf. straffeprosessloven § 125 og tvisteloven </w:t>
      </w:r>
      <w:r w:rsidR="002658F7">
        <w:rPr>
          <w:noProof/>
        </w:rPr>
        <w:br/>
      </w:r>
      <w:r>
        <w:rPr>
          <w:noProof/>
        </w:rPr>
        <w:t xml:space="preserve">§ 22-11. Det vil kun i særlige tilfeller være adgang til meget restriktive unntak. Vilkåret er at det må foreligge altoverveiende samfunnsmessige behov for å oppheve hovedregelen om kildevern, jf. EMD Goodwin 1996 avsnitt 40. </w:t>
      </w:r>
      <w:r w:rsidR="00962D24">
        <w:rPr>
          <w:noProof/>
        </w:rPr>
        <w:t>I Lekkasjesaken Rt 2004 s. 400 avsnitt 46 la Høyesterett til grunn at dette innebærer at kil</w:t>
      </w:r>
      <w:r w:rsidR="00AB5814">
        <w:rPr>
          <w:noProof/>
        </w:rPr>
        <w:t>d</w:t>
      </w:r>
      <w:r w:rsidR="00962D24">
        <w:rPr>
          <w:noProof/>
        </w:rPr>
        <w:t xml:space="preserve">evernet langt på vei er absolutt, så lenge de opplysninger kilden har gitt er av samfunnsmessig betydning. </w:t>
      </w:r>
      <w:r w:rsidR="007C1426" w:rsidRPr="002C3EE6">
        <w:t>I fastleggelsen av kildevernets utstrekning skal det ikke bare legges vekt på hensynene for og imot i den enkelte sak. Domstolen skal også legge vekt på den mer langsiktige effekten et unntak fra vernet vil ha for ytringsfriheten. Bare vissheten om at noen kan lete frem kontakter og bevegelser, vil være nok til at kilder som forutsetter anonymitet blir mer tilbakeholdne med å formidle opplysninger til journalister («</w:t>
      </w:r>
      <w:proofErr w:type="spellStart"/>
      <w:r w:rsidR="007C1426" w:rsidRPr="002C3EE6">
        <w:t>chilling</w:t>
      </w:r>
      <w:proofErr w:type="spellEnd"/>
      <w:r w:rsidR="007C1426" w:rsidRPr="002C3EE6">
        <w:t xml:space="preserve"> </w:t>
      </w:r>
      <w:proofErr w:type="spellStart"/>
      <w:r w:rsidR="007C1426" w:rsidRPr="002C3EE6">
        <w:t>effect</w:t>
      </w:r>
      <w:proofErr w:type="spellEnd"/>
      <w:r w:rsidR="007C1426" w:rsidRPr="002C3EE6">
        <w:t>»).</w:t>
      </w:r>
    </w:p>
    <w:p w14:paraId="46D0C790" w14:textId="0769222B" w:rsidR="00263506" w:rsidRDefault="00152551" w:rsidP="000E4DD9">
      <w:pPr>
        <w:rPr>
          <w:noProof/>
        </w:rPr>
      </w:pPr>
      <w:r>
        <w:rPr>
          <w:noProof/>
        </w:rPr>
        <w:t xml:space="preserve">For å sikre at reglene om politiets skjulte tvangsmidler respekterer medienes rett til å verne sine anonyme kilder, er pressens kildevern </w:t>
      </w:r>
      <w:r w:rsidR="00A54827">
        <w:rPr>
          <w:noProof/>
        </w:rPr>
        <w:t xml:space="preserve">også </w:t>
      </w:r>
      <w:r>
        <w:rPr>
          <w:noProof/>
        </w:rPr>
        <w:t xml:space="preserve">hensyntatt ved utformingen av </w:t>
      </w:r>
      <w:r w:rsidR="00462525">
        <w:rPr>
          <w:noProof/>
        </w:rPr>
        <w:t>disse bestemmelsene</w:t>
      </w:r>
      <w:r>
        <w:rPr>
          <w:noProof/>
        </w:rPr>
        <w:t xml:space="preserve">, jf. straffeprosessloven §§ 202 a), 216 c) og 216 m). Det er </w:t>
      </w:r>
      <w:r w:rsidR="00637CDE">
        <w:rPr>
          <w:noProof/>
        </w:rPr>
        <w:t xml:space="preserve">følgelig </w:t>
      </w:r>
      <w:r>
        <w:rPr>
          <w:noProof/>
        </w:rPr>
        <w:t xml:space="preserve">også ved kommunikasjonskontroll innført et krav om </w:t>
      </w:r>
      <w:r w:rsidR="00C175EC">
        <w:rPr>
          <w:noProof/>
        </w:rPr>
        <w:t>«</w:t>
      </w:r>
      <w:r>
        <w:rPr>
          <w:noProof/>
        </w:rPr>
        <w:t>særlige grunner</w:t>
      </w:r>
      <w:r w:rsidR="00C175EC">
        <w:rPr>
          <w:noProof/>
        </w:rPr>
        <w:t>»</w:t>
      </w:r>
      <w:r>
        <w:rPr>
          <w:noProof/>
        </w:rPr>
        <w:t xml:space="preserve"> for å tillate </w:t>
      </w:r>
      <w:r w:rsidR="00462525">
        <w:rPr>
          <w:noProof/>
        </w:rPr>
        <w:t xml:space="preserve">slike tvangsmidler </w:t>
      </w:r>
      <w:r>
        <w:rPr>
          <w:noProof/>
        </w:rPr>
        <w:t>overfor redaktører og journalister, jf. Prop. 68 L (2015-1016) s. 168.</w:t>
      </w:r>
      <w:r w:rsidR="00F83234">
        <w:rPr>
          <w:noProof/>
        </w:rPr>
        <w:t xml:space="preserve"> </w:t>
      </w:r>
    </w:p>
    <w:p w14:paraId="4A439BF8" w14:textId="46A8B8EE" w:rsidR="00152551" w:rsidRDefault="00263506" w:rsidP="000E4DD9">
      <w:pPr>
        <w:rPr>
          <w:noProof/>
        </w:rPr>
      </w:pPr>
      <w:r>
        <w:rPr>
          <w:noProof/>
        </w:rPr>
        <w:t xml:space="preserve">På denne bakgrunn </w:t>
      </w:r>
      <w:r w:rsidR="00F15F16">
        <w:rPr>
          <w:noProof/>
        </w:rPr>
        <w:t xml:space="preserve">mener vi </w:t>
      </w:r>
      <w:r w:rsidR="00E21403">
        <w:rPr>
          <w:noProof/>
        </w:rPr>
        <w:t xml:space="preserve">det er en stor svakhet med </w:t>
      </w:r>
      <w:r>
        <w:rPr>
          <w:noProof/>
        </w:rPr>
        <w:t>foreliggende forslag</w:t>
      </w:r>
      <w:r w:rsidR="00E21403">
        <w:rPr>
          <w:noProof/>
        </w:rPr>
        <w:t xml:space="preserve">, at det ikke er vurdert </w:t>
      </w:r>
      <w:r>
        <w:rPr>
          <w:noProof/>
        </w:rPr>
        <w:t>opp mot kommunika</w:t>
      </w:r>
      <w:r w:rsidR="00462525">
        <w:rPr>
          <w:noProof/>
        </w:rPr>
        <w:t>s</w:t>
      </w:r>
      <w:r>
        <w:rPr>
          <w:noProof/>
        </w:rPr>
        <w:t xml:space="preserve">jonsvernet, og særlig </w:t>
      </w:r>
      <w:r w:rsidR="00F83234">
        <w:rPr>
          <w:noProof/>
        </w:rPr>
        <w:t>vern</w:t>
      </w:r>
      <w:r>
        <w:rPr>
          <w:noProof/>
        </w:rPr>
        <w:t>et</w:t>
      </w:r>
      <w:r w:rsidR="00F83234">
        <w:rPr>
          <w:noProof/>
        </w:rPr>
        <w:t xml:space="preserve"> om anonyme kil</w:t>
      </w:r>
      <w:r>
        <w:rPr>
          <w:noProof/>
        </w:rPr>
        <w:t>d</w:t>
      </w:r>
      <w:r w:rsidR="00F83234">
        <w:rPr>
          <w:noProof/>
        </w:rPr>
        <w:t xml:space="preserve">ers identitet. </w:t>
      </w:r>
      <w:r w:rsidR="00AB5814" w:rsidRPr="00627A1A">
        <w:rPr>
          <w:noProof/>
        </w:rPr>
        <w:t>Begrunnelsen for kildevernet kommer også til uttrykk i nødssituasjoner. Utredningen har kun drøftelser om Grunnloven § 102 og EMK artikkel 8 om personvern, men mangler helt vureringer av Grunnloven § 100 og EMK artikkel 10 om ytringsfrihet.</w:t>
      </w:r>
      <w:r w:rsidR="00AB5814">
        <w:rPr>
          <w:noProof/>
        </w:rPr>
        <w:t xml:space="preserve"> </w:t>
      </w:r>
      <w:r w:rsidR="00462525">
        <w:rPr>
          <w:noProof/>
        </w:rPr>
        <w:t xml:space="preserve">Dette er en påpekning som bør være godt kjent </w:t>
      </w:r>
      <w:r w:rsidR="00E21403">
        <w:rPr>
          <w:noProof/>
        </w:rPr>
        <w:t>for departementet</w:t>
      </w:r>
      <w:r w:rsidR="00462525">
        <w:rPr>
          <w:noProof/>
        </w:rPr>
        <w:t xml:space="preserve"> etter utredningen om </w:t>
      </w:r>
      <w:hyperlink r:id="rId11" w:history="1">
        <w:r w:rsidR="00462525" w:rsidRPr="000A4ACD">
          <w:rPr>
            <w:rStyle w:val="Hyperkobling"/>
            <w:noProof/>
          </w:rPr>
          <w:t>«Datalagring og menne</w:t>
        </w:r>
        <w:r w:rsidR="00ED738D" w:rsidRPr="000A4ACD">
          <w:rPr>
            <w:rStyle w:val="Hyperkobling"/>
            <w:noProof/>
          </w:rPr>
          <w:t>s</w:t>
        </w:r>
        <w:r w:rsidR="00462525" w:rsidRPr="000A4ACD">
          <w:rPr>
            <w:rStyle w:val="Hyperkobling"/>
            <w:noProof/>
          </w:rPr>
          <w:t>kerettigheter»</w:t>
        </w:r>
      </w:hyperlink>
      <w:r w:rsidR="00462525">
        <w:rPr>
          <w:noProof/>
        </w:rPr>
        <w:t xml:space="preserve"> av professor Hans Petter Graver og advokat Henning Harborg </w:t>
      </w:r>
      <w:r w:rsidR="00E21403">
        <w:rPr>
          <w:noProof/>
        </w:rPr>
        <w:t xml:space="preserve">i </w:t>
      </w:r>
      <w:r w:rsidR="00462525">
        <w:rPr>
          <w:noProof/>
        </w:rPr>
        <w:t xml:space="preserve">2015. </w:t>
      </w:r>
      <w:r>
        <w:rPr>
          <w:noProof/>
        </w:rPr>
        <w:t xml:space="preserve">Slik lovutkastet foreligger, mener vi det er et brudd på </w:t>
      </w:r>
      <w:r w:rsidR="00F83234">
        <w:rPr>
          <w:noProof/>
        </w:rPr>
        <w:t>EMK artikkel 10</w:t>
      </w:r>
      <w:r>
        <w:rPr>
          <w:noProof/>
        </w:rPr>
        <w:t xml:space="preserve"> om ytringsfrihet</w:t>
      </w:r>
      <w:r w:rsidR="00ED738D">
        <w:rPr>
          <w:noProof/>
        </w:rPr>
        <w:t xml:space="preserve">. Dette vil vi </w:t>
      </w:r>
      <w:r>
        <w:rPr>
          <w:noProof/>
        </w:rPr>
        <w:t xml:space="preserve">utdype </w:t>
      </w:r>
      <w:r w:rsidR="00ED738D">
        <w:rPr>
          <w:noProof/>
        </w:rPr>
        <w:t xml:space="preserve">i </w:t>
      </w:r>
      <w:r w:rsidR="00A63EC3">
        <w:rPr>
          <w:noProof/>
        </w:rPr>
        <w:t xml:space="preserve">punktene </w:t>
      </w:r>
      <w:r w:rsidR="00E965DF">
        <w:rPr>
          <w:noProof/>
        </w:rPr>
        <w:t>4</w:t>
      </w:r>
      <w:r w:rsidR="00A63EC3">
        <w:rPr>
          <w:noProof/>
        </w:rPr>
        <w:t xml:space="preserve"> til </w:t>
      </w:r>
      <w:r w:rsidR="00E965DF">
        <w:rPr>
          <w:noProof/>
        </w:rPr>
        <w:t>7</w:t>
      </w:r>
      <w:r w:rsidR="00F83234">
        <w:rPr>
          <w:noProof/>
        </w:rPr>
        <w:t xml:space="preserve">. </w:t>
      </w:r>
    </w:p>
    <w:p w14:paraId="1EC36179" w14:textId="77777777" w:rsidR="00D07879" w:rsidRDefault="00D07879" w:rsidP="000E4DD9"/>
    <w:p w14:paraId="487F1368" w14:textId="77777777" w:rsidR="00312B72" w:rsidRPr="00104C99" w:rsidRDefault="00833066" w:rsidP="00312B72">
      <w:pPr>
        <w:pStyle w:val="Listeavsnitt"/>
        <w:numPr>
          <w:ilvl w:val="0"/>
          <w:numId w:val="1"/>
        </w:numPr>
        <w:rPr>
          <w:b/>
          <w:bCs/>
          <w:color w:val="FF0000"/>
        </w:rPr>
      </w:pPr>
      <w:r w:rsidRPr="00104C99">
        <w:rPr>
          <w:b/>
          <w:bCs/>
          <w:color w:val="FF0000"/>
        </w:rPr>
        <w:t>«Når det er grunn til å tro at det foreligger fare for liv eller alvorlig helseskade»</w:t>
      </w:r>
    </w:p>
    <w:p w14:paraId="7243871A" w14:textId="3884BD74" w:rsidR="005A4A65" w:rsidRDefault="00833066" w:rsidP="00BE2778">
      <w:r>
        <w:t xml:space="preserve">I utkastet til ny politilov § 7 b) </w:t>
      </w:r>
      <w:r w:rsidR="00945FA3">
        <w:t xml:space="preserve">foreslås det at kommunikasjonskontroll med redningsformål kun kan brukes «Når det er grunn til å tro at det foreligger fare for liv eller alvorlig helseskade». </w:t>
      </w:r>
      <w:r w:rsidR="002C094F">
        <w:t xml:space="preserve">Dette kravet er etter vårt syn for tynt utredet i høringsnotatet, </w:t>
      </w:r>
      <w:r w:rsidR="000A4ACD">
        <w:t xml:space="preserve">idet </w:t>
      </w:r>
      <w:r w:rsidR="002C094F">
        <w:t xml:space="preserve">det ikke gis noen nærmere redegjørelse </w:t>
      </w:r>
      <w:r w:rsidR="005A4A65">
        <w:t xml:space="preserve">for </w:t>
      </w:r>
      <w:r w:rsidR="002C094F">
        <w:t xml:space="preserve">hva </w:t>
      </w:r>
      <w:r w:rsidR="005A4A65">
        <w:t xml:space="preserve">som ligger i uttrykket </w:t>
      </w:r>
      <w:r w:rsidR="002C094F">
        <w:t xml:space="preserve">«alvorlig helseskade». </w:t>
      </w:r>
      <w:r w:rsidR="004477F1" w:rsidRPr="00627A1A">
        <w:t>En slik lovregulering krever at det gis tilstrekkelig veiledning for hvordan vilkårene skal forstås. Vi viser i den sammenheng til utredningens mandat, som legger til grunn at målet med lovfestingen er å eliminere usikkerheten hos politiet som skal vurdere om den aktuelle nødsituasjonen rettferdiggjør bruken av de respektive virkemidlene, og dermed skape bedre forutsigbarhet og økt rettssikkerhet for borgerne.</w:t>
      </w:r>
      <w:r w:rsidR="004477F1">
        <w:t xml:space="preserve"> </w:t>
      </w:r>
    </w:p>
    <w:p w14:paraId="23DCD1EC" w14:textId="6204D471" w:rsidR="00BE2778" w:rsidRDefault="002C094F" w:rsidP="00BE2778">
      <w:r>
        <w:t xml:space="preserve">Etter vår oppfatning må forslaget </w:t>
      </w:r>
      <w:r w:rsidR="005A4A65">
        <w:t>om livstruende situasjoner</w:t>
      </w:r>
      <w:r w:rsidR="000A4ACD">
        <w:t>,</w:t>
      </w:r>
      <w:r w:rsidR="005A4A65">
        <w:t xml:space="preserve"> </w:t>
      </w:r>
      <w:r>
        <w:t xml:space="preserve">korrespondere med hjelpeplikten når det foreligger fare for tap av menneskeliv etter straffeloven § 287. </w:t>
      </w:r>
      <w:r w:rsidR="005A4A65">
        <w:t>E</w:t>
      </w:r>
      <w:r w:rsidR="00AE0C0E">
        <w:t xml:space="preserve">n slik forståelse </w:t>
      </w:r>
      <w:r>
        <w:t xml:space="preserve">vil være i tråd med veilederen til Ministerrådets Rekommandasjon (2000)7 kapittel II, punktene 38-39, som taler om </w:t>
      </w:r>
      <w:r w:rsidR="00FA4B09">
        <w:t xml:space="preserve">rettens adgang til å </w:t>
      </w:r>
      <w:r w:rsidR="00FA4B09" w:rsidRPr="00FA4B09">
        <w:rPr>
          <w:i/>
          <w:iCs/>
        </w:rPr>
        <w:t>vurdere</w:t>
      </w:r>
      <w:r w:rsidR="00FA4B09">
        <w:t xml:space="preserve"> </w:t>
      </w:r>
      <w:r>
        <w:t>unntak fra kildevernet ved «</w:t>
      </w:r>
      <w:proofErr w:type="spellStart"/>
      <w:r>
        <w:t>protection</w:t>
      </w:r>
      <w:proofErr w:type="spellEnd"/>
      <w:r>
        <w:t xml:space="preserve"> </w:t>
      </w:r>
      <w:proofErr w:type="spellStart"/>
      <w:r>
        <w:t>of</w:t>
      </w:r>
      <w:proofErr w:type="spellEnd"/>
      <w:r>
        <w:t xml:space="preserve"> human </w:t>
      </w:r>
      <w:proofErr w:type="spellStart"/>
      <w:r>
        <w:t>life</w:t>
      </w:r>
      <w:proofErr w:type="spellEnd"/>
      <w:r>
        <w:t xml:space="preserve">» (vern av personers liv). </w:t>
      </w:r>
      <w:r w:rsidR="00BE2778">
        <w:t xml:space="preserve">Selv om rekommandasjonen ikke er rettslig bindende, er den i sin helhet lagt ved i </w:t>
      </w:r>
      <w:r w:rsidR="003C3073">
        <w:t>E</w:t>
      </w:r>
      <w:r w:rsidR="00BE2778">
        <w:t xml:space="preserve">MD </w:t>
      </w:r>
      <w:proofErr w:type="spellStart"/>
      <w:r w:rsidR="00BE2778">
        <w:t>Voskuil</w:t>
      </w:r>
      <w:proofErr w:type="spellEnd"/>
      <w:r w:rsidR="00BE2778">
        <w:t xml:space="preserve"> 2007, storkammeravgjørelsen EMD </w:t>
      </w:r>
      <w:proofErr w:type="spellStart"/>
      <w:r w:rsidR="00BE2778">
        <w:t>Sanoma</w:t>
      </w:r>
      <w:proofErr w:type="spellEnd"/>
      <w:r w:rsidR="00BE2778">
        <w:t xml:space="preserve"> </w:t>
      </w:r>
      <w:proofErr w:type="spellStart"/>
      <w:r w:rsidR="00BE2778">
        <w:t>Uitgevers</w:t>
      </w:r>
      <w:proofErr w:type="spellEnd"/>
      <w:r w:rsidR="00BE2778">
        <w:t xml:space="preserve"> 2010 og EMD </w:t>
      </w:r>
      <w:proofErr w:type="spellStart"/>
      <w:r w:rsidR="00BE2778">
        <w:t>Stichting</w:t>
      </w:r>
      <w:proofErr w:type="spellEnd"/>
      <w:r w:rsidR="00BE2778">
        <w:t xml:space="preserve"> </w:t>
      </w:r>
      <w:proofErr w:type="spellStart"/>
      <w:r w:rsidR="00BE2778">
        <w:t>Ostade</w:t>
      </w:r>
      <w:proofErr w:type="spellEnd"/>
      <w:r w:rsidR="00BE2778">
        <w:t xml:space="preserve"> Blade 2014, og henvist til i flere saker, blant annet EMD Nordisk Film 2005. </w:t>
      </w:r>
    </w:p>
    <w:p w14:paraId="521816A7" w14:textId="6E56E0D1" w:rsidR="00AE0C0E" w:rsidRDefault="00AE0C0E" w:rsidP="00BE2778">
      <w:pPr>
        <w:rPr>
          <w:noProof/>
        </w:rPr>
      </w:pPr>
      <w:r>
        <w:t xml:space="preserve">Vi støtter </w:t>
      </w:r>
      <w:r w:rsidR="000A4ACD">
        <w:t xml:space="preserve">forøvrig </w:t>
      </w:r>
      <w:r>
        <w:t xml:space="preserve">forslaget om at muligheten for bruk av kommunikasjonskontroll med redningsformål, </w:t>
      </w:r>
      <w:r w:rsidR="00D90AE1">
        <w:t xml:space="preserve">må </w:t>
      </w:r>
      <w:r>
        <w:t xml:space="preserve">avgrenses mot </w:t>
      </w:r>
      <w:r w:rsidR="005A4A65">
        <w:t>«</w:t>
      </w:r>
      <w:r>
        <w:t>avvergende</w:t>
      </w:r>
      <w:r w:rsidR="005A4A65">
        <w:t>»</w:t>
      </w:r>
      <w:r>
        <w:t xml:space="preserve"> og </w:t>
      </w:r>
      <w:r w:rsidR="005A4A65">
        <w:t>«</w:t>
      </w:r>
      <w:r>
        <w:t>forebyggende</w:t>
      </w:r>
      <w:r w:rsidR="005A4A65">
        <w:t>»</w:t>
      </w:r>
      <w:r>
        <w:t xml:space="preserve"> situasjoner. </w:t>
      </w:r>
    </w:p>
    <w:p w14:paraId="61340626" w14:textId="77777777" w:rsidR="00BE2778" w:rsidRDefault="00BE2778" w:rsidP="000E4DD9"/>
    <w:p w14:paraId="176C6268" w14:textId="77777777" w:rsidR="00F83234" w:rsidRPr="00104C99" w:rsidRDefault="00C27F83" w:rsidP="00C27F83">
      <w:pPr>
        <w:pStyle w:val="Listeavsnitt"/>
        <w:numPr>
          <w:ilvl w:val="0"/>
          <w:numId w:val="1"/>
        </w:numPr>
        <w:rPr>
          <w:b/>
          <w:bCs/>
          <w:color w:val="FF0000"/>
        </w:rPr>
      </w:pPr>
      <w:r w:rsidRPr="00104C99">
        <w:rPr>
          <w:b/>
          <w:bCs/>
          <w:color w:val="FF0000"/>
        </w:rPr>
        <w:lastRenderedPageBreak/>
        <w:t>Innhenting av informasjon om hvem vedkommende eventuelt har vært i kontakt med</w:t>
      </w:r>
    </w:p>
    <w:p w14:paraId="55D0573C" w14:textId="594C9218" w:rsidR="00FA4B09" w:rsidRDefault="00EC6A60" w:rsidP="00C27F83">
      <w:pPr>
        <w:spacing w:line="240" w:lineRule="auto"/>
        <w:rPr>
          <w:noProof/>
        </w:rPr>
      </w:pPr>
      <w:r>
        <w:rPr>
          <w:noProof/>
        </w:rPr>
        <w:t>Forslaget til k</w:t>
      </w:r>
      <w:r w:rsidR="00C27F83">
        <w:rPr>
          <w:noProof/>
        </w:rPr>
        <w:t xml:space="preserve">ommunikasjonskontroll i nødsituasjoner </w:t>
      </w:r>
      <w:r>
        <w:rPr>
          <w:noProof/>
        </w:rPr>
        <w:t xml:space="preserve">vil kunne brukes i forbindelse med redningsoperasjoner, og </w:t>
      </w:r>
      <w:r w:rsidR="00052F01">
        <w:rPr>
          <w:noProof/>
        </w:rPr>
        <w:t xml:space="preserve">i slike tilfeller </w:t>
      </w:r>
      <w:r w:rsidR="00D7185B">
        <w:rPr>
          <w:noProof/>
        </w:rPr>
        <w:t xml:space="preserve">vil innhenting av informasjon være nyttig «for å avgrense søkeområdet» (høringsnotatets side 22). </w:t>
      </w:r>
      <w:r w:rsidR="00312B72">
        <w:rPr>
          <w:noProof/>
        </w:rPr>
        <w:t xml:space="preserve">For et slikt formål vil først og fremst informasjon om </w:t>
      </w:r>
      <w:r w:rsidR="00312B72" w:rsidRPr="000A4ACD">
        <w:rPr>
          <w:i/>
          <w:iCs/>
          <w:noProof/>
        </w:rPr>
        <w:t>posisjonering</w:t>
      </w:r>
      <w:r w:rsidR="00312B72">
        <w:rPr>
          <w:noProof/>
        </w:rPr>
        <w:t xml:space="preserve"> </w:t>
      </w:r>
      <w:r w:rsidR="00FA4B09">
        <w:rPr>
          <w:noProof/>
        </w:rPr>
        <w:t xml:space="preserve">av savnet person </w:t>
      </w:r>
      <w:r w:rsidR="00312B72">
        <w:rPr>
          <w:noProof/>
        </w:rPr>
        <w:t xml:space="preserve">være relevant. </w:t>
      </w:r>
    </w:p>
    <w:p w14:paraId="3407F41E" w14:textId="6ADFEF38" w:rsidR="00C27F83" w:rsidRDefault="00FA4B09" w:rsidP="00C27F83">
      <w:pPr>
        <w:spacing w:line="240" w:lineRule="auto"/>
        <w:rPr>
          <w:noProof/>
        </w:rPr>
      </w:pPr>
      <w:r>
        <w:rPr>
          <w:noProof/>
        </w:rPr>
        <w:t xml:space="preserve">Etter vår mening strider det derimot mot EMK artikkel 10 å legge til grunn – </w:t>
      </w:r>
      <w:r w:rsidR="00E06E9F">
        <w:rPr>
          <w:noProof/>
        </w:rPr>
        <w:t>helt uten n</w:t>
      </w:r>
      <w:r>
        <w:rPr>
          <w:noProof/>
        </w:rPr>
        <w:t xml:space="preserve">ærmere drøftelse - at </w:t>
      </w:r>
      <w:r w:rsidR="00E62904">
        <w:rPr>
          <w:noProof/>
        </w:rPr>
        <w:t xml:space="preserve">også </w:t>
      </w:r>
      <w:r>
        <w:rPr>
          <w:noProof/>
        </w:rPr>
        <w:t xml:space="preserve">informasjonen </w:t>
      </w:r>
      <w:r w:rsidR="00E62904">
        <w:rPr>
          <w:noProof/>
        </w:rPr>
        <w:t xml:space="preserve">om </w:t>
      </w:r>
      <w:r>
        <w:rPr>
          <w:noProof/>
        </w:rPr>
        <w:t>«hvem vedkommende eventuelt har vært i kontakt med»</w:t>
      </w:r>
      <w:r w:rsidR="00E62904">
        <w:rPr>
          <w:noProof/>
        </w:rPr>
        <w:t>, kan innhentes i slike situasjoner</w:t>
      </w:r>
      <w:r>
        <w:rPr>
          <w:noProof/>
        </w:rPr>
        <w:t xml:space="preserve"> (høringsnotatet side 22). En slik type informasjon vil kunne avsløre anonyme kilders identitet</w:t>
      </w:r>
      <w:r w:rsidR="00E62904">
        <w:rPr>
          <w:noProof/>
        </w:rPr>
        <w:t>, og d</w:t>
      </w:r>
      <w:r w:rsidR="00052F01">
        <w:rPr>
          <w:noProof/>
        </w:rPr>
        <w:t xml:space="preserve">ermed er lovgiver </w:t>
      </w:r>
      <w:r w:rsidR="000A4ACD">
        <w:rPr>
          <w:noProof/>
        </w:rPr>
        <w:t xml:space="preserve">også her </w:t>
      </w:r>
      <w:r w:rsidR="00052F01">
        <w:rPr>
          <w:noProof/>
        </w:rPr>
        <w:t>pliktig til å gjennomføre den pålagte avveiningen etter EMK artikkel 10 («Goodwin-testen/«the balancing test»)</w:t>
      </w:r>
      <w:r w:rsidR="000A4ACD">
        <w:rPr>
          <w:noProof/>
        </w:rPr>
        <w:t>, jf. drøftelsen i punkt 3</w:t>
      </w:r>
      <w:r w:rsidR="00052F01">
        <w:rPr>
          <w:noProof/>
        </w:rPr>
        <w:t xml:space="preserve">. </w:t>
      </w:r>
    </w:p>
    <w:p w14:paraId="5158B983" w14:textId="6948A402" w:rsidR="00F83234" w:rsidRDefault="00F83234" w:rsidP="000E4DD9"/>
    <w:p w14:paraId="22C8BD44" w14:textId="5986E7D8" w:rsidR="009E5BA6" w:rsidRPr="00104C99" w:rsidRDefault="009E5BA6" w:rsidP="009E5BA6">
      <w:pPr>
        <w:pStyle w:val="Listeavsnitt"/>
        <w:numPr>
          <w:ilvl w:val="0"/>
          <w:numId w:val="1"/>
        </w:numPr>
        <w:rPr>
          <w:b/>
          <w:bCs/>
          <w:color w:val="FF0000"/>
        </w:rPr>
      </w:pPr>
      <w:r w:rsidRPr="00104C99">
        <w:rPr>
          <w:b/>
          <w:bCs/>
          <w:color w:val="FF0000"/>
        </w:rPr>
        <w:t>Innhenting av informasjon om hvilke telefoner som befinner seg i et ulykkesområde</w:t>
      </w:r>
    </w:p>
    <w:p w14:paraId="49687C1C" w14:textId="141EC2C1" w:rsidR="00E84CAE" w:rsidRPr="002C3EE6" w:rsidRDefault="009E5BA6" w:rsidP="007E7ACA">
      <w:r>
        <w:t xml:space="preserve">I høringsnotatet (side 22) legges det til grunn at innhenting av informasjon om hvilke telefoner som befinner seg i et ulykkesområde, kan gi indikasjon </w:t>
      </w:r>
      <w:r w:rsidR="00052F01">
        <w:t xml:space="preserve">på hvem man skal konsentrere søket etter». </w:t>
      </w:r>
      <w:r w:rsidR="00E84CAE" w:rsidRPr="002C3EE6">
        <w:rPr>
          <w:noProof/>
        </w:rPr>
        <w:t xml:space="preserve">Kildevernreglene beskytter den anonyme kildens identitet, som navn og bilde. </w:t>
      </w:r>
      <w:r w:rsidR="00E84CAE" w:rsidRPr="00C27F83">
        <w:rPr>
          <w:szCs w:val="20"/>
        </w:rPr>
        <w:t>I enkelte situasjoner kan det være en sammenheng mellom kildens informasjon og identiteten, idet opplysningene kan bidra til å avsløre kilden. V</w:t>
      </w:r>
      <w:r w:rsidR="00E84CAE" w:rsidRPr="002C3EE6">
        <w:rPr>
          <w:noProof/>
        </w:rPr>
        <w:t>ernet innebærer at det heller ikke kan stilles spørsmål der resultatet kan bli at man kommer på sporet av kilden</w:t>
      </w:r>
      <w:r w:rsidR="00E84CAE">
        <w:rPr>
          <w:noProof/>
        </w:rPr>
        <w:t xml:space="preserve">, jf. </w:t>
      </w:r>
      <w:r w:rsidR="003C3073">
        <w:rPr>
          <w:noProof/>
        </w:rPr>
        <w:t xml:space="preserve">plenumsavgjørelsen </w:t>
      </w:r>
      <w:r w:rsidR="00E84CAE" w:rsidRPr="002C3EE6">
        <w:rPr>
          <w:noProof/>
        </w:rPr>
        <w:t xml:space="preserve">Edderkoppsaken Rt 1992 s. 39. Kildevernet </w:t>
      </w:r>
      <w:r w:rsidR="00E84CAE" w:rsidRPr="00C27F83">
        <w:rPr>
          <w:szCs w:val="20"/>
        </w:rPr>
        <w:t xml:space="preserve">gjelder derfor ikke bare personlige data om kilden, men også </w:t>
      </w:r>
      <w:r w:rsidR="00E84CAE" w:rsidRPr="002C3EE6">
        <w:t xml:space="preserve">opplysninger som direkte eller indirekte er egnet til å identifisere kilden. Det kan for eksempel gjelde de faktiske omstendighetene rundt kontakten mellom journalist og kilde, som tid og sted for møter. </w:t>
      </w:r>
      <w:r w:rsidR="007E7ACA">
        <w:t>De</w:t>
      </w:r>
      <w:r w:rsidR="000A4ACD">
        <w:t xml:space="preserve">nne delen av forslaget </w:t>
      </w:r>
      <w:r w:rsidR="007E7ACA">
        <w:t xml:space="preserve">strider etter vår mening derfor </w:t>
      </w:r>
      <w:r w:rsidR="000A4ACD">
        <w:t xml:space="preserve">også </w:t>
      </w:r>
      <w:r w:rsidR="007E7ACA">
        <w:t xml:space="preserve">mot EMK artikkel 10, og også her må den pålagte «Goodwin-testen» </w:t>
      </w:r>
      <w:r w:rsidR="000A4ACD">
        <w:t>gjennomføres, jf. drøftelsen i punkt 3</w:t>
      </w:r>
      <w:r w:rsidR="007E7ACA">
        <w:t xml:space="preserve">. </w:t>
      </w:r>
    </w:p>
    <w:p w14:paraId="153097BD" w14:textId="0439E988" w:rsidR="00E84CAE" w:rsidRDefault="00E84CAE" w:rsidP="000E4DD9"/>
    <w:p w14:paraId="3CC0BEE7" w14:textId="13B52398" w:rsidR="00E84CAE" w:rsidRPr="00104C99" w:rsidRDefault="00E84CAE" w:rsidP="00E84CAE">
      <w:pPr>
        <w:pStyle w:val="Listeavsnitt"/>
        <w:numPr>
          <w:ilvl w:val="0"/>
          <w:numId w:val="1"/>
        </w:numPr>
        <w:rPr>
          <w:b/>
          <w:bCs/>
          <w:color w:val="FF0000"/>
        </w:rPr>
      </w:pPr>
      <w:r w:rsidRPr="00104C99">
        <w:rPr>
          <w:b/>
          <w:bCs/>
          <w:color w:val="FF0000"/>
        </w:rPr>
        <w:t>Rettssikkerhetsgarantier for å unngå misbruk</w:t>
      </w:r>
    </w:p>
    <w:p w14:paraId="23A456DD" w14:textId="77777777" w:rsidR="008C7264" w:rsidRDefault="00AA0A7B" w:rsidP="000E4DD9">
      <w:r w:rsidRPr="00627A1A">
        <w:t xml:space="preserve">Ved vurderingen av om inngrepet kan anses «nødvendig i et demokratisk samfunn», påpekes det </w:t>
      </w:r>
      <w:r w:rsidR="008C7264" w:rsidRPr="00627A1A">
        <w:t xml:space="preserve">blant annet </w:t>
      </w:r>
      <w:r w:rsidRPr="00627A1A">
        <w:t xml:space="preserve">i </w:t>
      </w:r>
      <w:r w:rsidR="008C7264" w:rsidRPr="00627A1A">
        <w:t xml:space="preserve">avvisningsavgjørelsen </w:t>
      </w:r>
      <w:r w:rsidRPr="00627A1A">
        <w:t xml:space="preserve">EMD Weber og </w:t>
      </w:r>
      <w:proofErr w:type="spellStart"/>
      <w:r w:rsidRPr="00627A1A">
        <w:t>Saravia</w:t>
      </w:r>
      <w:proofErr w:type="spellEnd"/>
      <w:r w:rsidRPr="00627A1A">
        <w:t xml:space="preserve"> 2006 at </w:t>
      </w:r>
      <w:r w:rsidR="008C7264" w:rsidRPr="00627A1A">
        <w:t>nasjonale myndigheter må forsikre seg om at det foreligger effektive og tilfredsstillende garantier mot misbruk. EMD understreket her at denne vurderingen beror på en helhetsvurdering av forholdene i saken; slik som karakteren, rekkevidden og lengden på de mulige tiltakene, grunnlaget som kreves for å iverksette dem, hvilke myndigheter som er kompetente til å beslutte, gjennomføre og føre tilsyn med dem, og hvilket rettsmiddel som finnes i den nasjonale retten.</w:t>
      </w:r>
      <w:r w:rsidR="008C7264">
        <w:t xml:space="preserve"> </w:t>
      </w:r>
    </w:p>
    <w:p w14:paraId="1D38FDA0" w14:textId="3F3A0529" w:rsidR="00477969" w:rsidRDefault="002A310F" w:rsidP="000E4DD9">
      <w:r>
        <w:t xml:space="preserve">I </w:t>
      </w:r>
      <w:r w:rsidR="008C7264">
        <w:t xml:space="preserve">foreliggende </w:t>
      </w:r>
      <w:r>
        <w:t xml:space="preserve">forslag ligger </w:t>
      </w:r>
      <w:r w:rsidR="00283D92">
        <w:t xml:space="preserve">ikke tilstrekkelige og uavhengige </w:t>
      </w:r>
      <w:r>
        <w:t xml:space="preserve">kontrollmekanismer </w:t>
      </w:r>
      <w:r w:rsidR="00283D92">
        <w:t xml:space="preserve">mot misbruk </w:t>
      </w:r>
      <w:r>
        <w:t xml:space="preserve">av fortrolig kommunikasjon mellom journalist og kilde. </w:t>
      </w:r>
      <w:r w:rsidR="00E905E1">
        <w:t xml:space="preserve">Dette er etter vårt syn et brudd på kravene som oppstilles i </w:t>
      </w:r>
      <w:r w:rsidR="000A4ACD">
        <w:t xml:space="preserve">den </w:t>
      </w:r>
      <w:r w:rsidR="00AD4891">
        <w:t xml:space="preserve">tidligere omtalte </w:t>
      </w:r>
      <w:r w:rsidR="00E905E1">
        <w:t xml:space="preserve">EMD </w:t>
      </w:r>
      <w:proofErr w:type="spellStart"/>
      <w:r w:rsidR="00E905E1">
        <w:t>Sanoma</w:t>
      </w:r>
      <w:proofErr w:type="spellEnd"/>
      <w:r w:rsidR="00E905E1">
        <w:t xml:space="preserve"> </w:t>
      </w:r>
      <w:proofErr w:type="spellStart"/>
      <w:r w:rsidR="00E905E1">
        <w:t>Uitgever</w:t>
      </w:r>
      <w:r w:rsidR="00AD4891">
        <w:t>s</w:t>
      </w:r>
      <w:proofErr w:type="spellEnd"/>
      <w:r w:rsidR="00E905E1">
        <w:t xml:space="preserve"> 2010 avsnittene 90-92</w:t>
      </w:r>
      <w:r w:rsidR="000A4ACD">
        <w:t>, og kan være skadelig for tillitsforholdet mellom journalist og kilde</w:t>
      </w:r>
      <w:r w:rsidR="00E905E1">
        <w:t xml:space="preserve">. </w:t>
      </w:r>
      <w:r w:rsidR="007634A4">
        <w:t xml:space="preserve">Kildesensitivt materiale må gjennomgås av en dommer eller en annen uavhengig og upartisk beslutningstaker. </w:t>
      </w:r>
      <w:r>
        <w:t>Det</w:t>
      </w:r>
      <w:r w:rsidR="000A4ACD">
        <w:t xml:space="preserve">te </w:t>
      </w:r>
      <w:r>
        <w:t xml:space="preserve">er </w:t>
      </w:r>
      <w:r w:rsidR="000A4ACD">
        <w:t xml:space="preserve">kun </w:t>
      </w:r>
      <w:r>
        <w:t xml:space="preserve">foreslått </w:t>
      </w:r>
      <w:r w:rsidR="000A4ACD">
        <w:t xml:space="preserve">som </w:t>
      </w:r>
      <w:r w:rsidRPr="000A4ACD">
        <w:rPr>
          <w:i/>
          <w:iCs/>
        </w:rPr>
        <w:t>etterfølgende kontroll</w:t>
      </w:r>
      <w:r>
        <w:t xml:space="preserve">. </w:t>
      </w:r>
      <w:r w:rsidR="000A4ACD">
        <w:t xml:space="preserve">Det er imidlertid </w:t>
      </w:r>
      <w:r w:rsidR="00477969">
        <w:t xml:space="preserve">i strid med våre internasjonale forpliktelser </w:t>
      </w:r>
      <w:r w:rsidR="000A4ACD">
        <w:t xml:space="preserve">om rettssikkerhetsgarantier </w:t>
      </w:r>
      <w:r w:rsidR="00477969">
        <w:t xml:space="preserve">på området å legge </w:t>
      </w:r>
      <w:r w:rsidR="00477969" w:rsidRPr="000A4ACD">
        <w:rPr>
          <w:i/>
          <w:iCs/>
        </w:rPr>
        <w:t>forhåndskontrollen</w:t>
      </w:r>
      <w:r w:rsidR="00477969">
        <w:t xml:space="preserve"> til politimesteren selv. </w:t>
      </w:r>
      <w:r w:rsidR="006E769B">
        <w:t xml:space="preserve">I hastesaker, som nødssituasjoner er, må det foreligge en prosedyre for å identifisere og isolere kildesensitivt materiale, </w:t>
      </w:r>
      <w:r w:rsidR="006E769B" w:rsidRPr="006E769B">
        <w:rPr>
          <w:i/>
          <w:iCs/>
        </w:rPr>
        <w:t>før</w:t>
      </w:r>
      <w:r w:rsidR="006E769B">
        <w:t xml:space="preserve"> myndighetene kan utnytte resten. </w:t>
      </w:r>
      <w:r w:rsidR="007941AF">
        <w:t xml:space="preserve">Til sammenligning kan vises til Ragna </w:t>
      </w:r>
      <w:proofErr w:type="spellStart"/>
      <w:r w:rsidR="007941AF">
        <w:t>Aarli</w:t>
      </w:r>
      <w:proofErr w:type="spellEnd"/>
      <w:r w:rsidR="007941AF">
        <w:t xml:space="preserve"> «Bevis i straffesaker» (2014) s. 447, som påpeker at påtalemyndigheten ikke har adgang til å benytte hastehjemmelen i straffeprosessloven § 210 andre ledd første setning ved krav om utlevering av kildeavslørende materiale. Det samme må gjelde her. </w:t>
      </w:r>
    </w:p>
    <w:p w14:paraId="7BD46E3A" w14:textId="77777777" w:rsidR="00283D92" w:rsidRDefault="00283D92" w:rsidP="000E4DD9"/>
    <w:p w14:paraId="5FE10BAE" w14:textId="61DD7C88" w:rsidR="005F344E" w:rsidRPr="007941AF" w:rsidRDefault="00E84CAE" w:rsidP="00E84CAE">
      <w:pPr>
        <w:pStyle w:val="Listeavsnitt"/>
        <w:numPr>
          <w:ilvl w:val="0"/>
          <w:numId w:val="1"/>
        </w:numPr>
        <w:rPr>
          <w:b/>
          <w:bCs/>
          <w:color w:val="FF0000"/>
        </w:rPr>
      </w:pPr>
      <w:r w:rsidRPr="007941AF">
        <w:rPr>
          <w:b/>
          <w:bCs/>
          <w:color w:val="FF0000"/>
        </w:rPr>
        <w:lastRenderedPageBreak/>
        <w:t>Regler om sletting</w:t>
      </w:r>
    </w:p>
    <w:p w14:paraId="578A0586" w14:textId="7E547276" w:rsidR="005F344E" w:rsidRDefault="00283D92" w:rsidP="000E4DD9">
      <w:r>
        <w:t xml:space="preserve">Vi støtter forslaget om at opplysninger som framkommer gjennom kommunikasjonskontrollen, skal slettes umiddelbart etter at formålet med kontrollen er oppnådd. Men vi mener </w:t>
      </w:r>
      <w:r w:rsidRPr="007941AF">
        <w:rPr>
          <w:i/>
          <w:iCs/>
        </w:rPr>
        <w:t>oppfølgningen</w:t>
      </w:r>
      <w:r>
        <w:t xml:space="preserve"> av denne plikten må skjerpes. </w:t>
      </w:r>
    </w:p>
    <w:p w14:paraId="6502D46C" w14:textId="77777777" w:rsidR="002A310F" w:rsidRDefault="002A310F" w:rsidP="000E4DD9"/>
    <w:p w14:paraId="389C1EE8" w14:textId="77777777" w:rsidR="005F481A" w:rsidRDefault="005F481A" w:rsidP="000E4DD9"/>
    <w:p w14:paraId="585A84CB" w14:textId="6D5EFB42" w:rsidR="006B5514" w:rsidRDefault="006B5514" w:rsidP="006B5514">
      <w:pPr>
        <w:pStyle w:val="Ingenmellomrom"/>
      </w:pPr>
      <w:r>
        <w:t>Med vennlig hilsen</w:t>
      </w:r>
    </w:p>
    <w:p w14:paraId="23A549C6" w14:textId="77777777" w:rsidR="004C34AE" w:rsidRDefault="004C34AE" w:rsidP="006B5514">
      <w:pPr>
        <w:pStyle w:val="Ingenmellomrom"/>
      </w:pPr>
    </w:p>
    <w:p w14:paraId="170BE53C" w14:textId="77777777" w:rsidR="006B5514" w:rsidRDefault="00F33330" w:rsidP="006B5514">
      <w:pPr>
        <w:pStyle w:val="Ingenmellomrom"/>
      </w:pPr>
      <w:r>
        <w:rPr>
          <w:noProof/>
          <w:lang w:eastAsia="nb-NO"/>
        </w:rPr>
        <mc:AlternateContent>
          <mc:Choice Requires="wps">
            <w:drawing>
              <wp:anchor distT="0" distB="0" distL="114300" distR="114300" simplePos="0" relativeHeight="251659264" behindDoc="0" locked="0" layoutInCell="1" allowOverlap="1" wp14:anchorId="4F7464D6" wp14:editId="3F4D444E">
                <wp:simplePos x="0" y="0"/>
                <wp:positionH relativeFrom="column">
                  <wp:posOffset>-585305</wp:posOffset>
                </wp:positionH>
                <wp:positionV relativeFrom="page">
                  <wp:posOffset>3600947</wp:posOffset>
                </wp:positionV>
                <wp:extent cx="36576" cy="0"/>
                <wp:effectExtent l="0" t="0" r="20955" b="19050"/>
                <wp:wrapNone/>
                <wp:docPr id="2" name="Rett linje 2"/>
                <wp:cNvGraphicFramePr/>
                <a:graphic xmlns:a="http://schemas.openxmlformats.org/drawingml/2006/main">
                  <a:graphicData uri="http://schemas.microsoft.com/office/word/2010/wordprocessingShape">
                    <wps:wsp>
                      <wps:cNvCnPr/>
                      <wps:spPr>
                        <a:xfrm>
                          <a:off x="0" y="0"/>
                          <a:ext cx="36576" cy="0"/>
                        </a:xfrm>
                        <a:prstGeom prst="line">
                          <a:avLst/>
                        </a:prstGeom>
                        <a:ln>
                          <a:solidFill>
                            <a:schemeClr val="bg2">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DF67CF" id="Rett linje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6.1pt,283.55pt" to="-43.2pt,2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2gEAABEEAAAOAAAAZHJzL2Uyb0RvYy54bWysU9tu2zAMfR+wfxD0vtjx0HQw4vShRfey&#10;S9B1H6DIVKxNN0hqnPz9KDpxi20YhmEvsimShzyH1PrmaA07QEzau44vFzVn4KTvtdt3/Ovj/Zt3&#10;nKUsXC+Md9DxEyR+s3n9aj2GFho/eNNDZAjiUjuGjg85h7aqkhzAirTwARw6lY9WZDTjvuqjGBHd&#10;mqqp61U1+tiH6CWkhLd3k5NvCF8pkPmzUgkyMx3H3jKdkc5dOavNWrT7KMKg5bkN8Q9dWKEdFp2h&#10;7kQW7CnqX6CsltEnr/JCelt5pbQE4oBslvVPbL4MIgBxQXFSmGVK/w9WfjpsI9N9xxvOnLA4ogfI&#10;KJd234A1RZ8xpBbDbt02nq0UtrGQPapoyxdpsCNpepo1hWNmEi/frq6uV5zJi6d6Tgsx5ffgLSs/&#10;HceShaxoxeFDylgKQy8h5dq4ciZvdH+vjSGjrAncmsgOAge82zcEYJ7sR99Pd9dXdU1jRjTaqhJO&#10;2C+Q0FfQq0J1Ikd/+WRgqvwACkVCOksqMANNNfrvyyIUoWBkSVHY4ZxU/znpHFvSgFb2bxPnaKro&#10;XZ4TrXY+/q5qPl5aVVP8hfXEtdDe+f5EoyY5cO+I2fmNlMV+aVP680ve/AAAAP//AwBQSwMEFAAG&#10;AAgAAAAhAPnMSjfgAAAACwEAAA8AAABkcnMvZG93bnJldi54bWxMj8FOwzAMhu9IvENkJC5Tl64a&#10;pZSm0yggLlxYOXDMGtNWNE5Isq28PUFCgqPtT7+/v9rMemJHdH40JGC1TIEhdUaN1At4bR+TApgP&#10;kpScDKGAL/Swqc/PKlkqc6IXPO5Cz2II+VIKGEKwJee+G1BLvzQWKd7ejdMyxNH1XDl5iuF64lma&#10;5lzLkeKHQVpsBuw+dgctoFiEz+btya63blzY57v8/qFtWiEuL+btLbCAc/iD4Uc/qkMdnfbmQMqz&#10;SUByk2URFXCVX6+ARSIp8jWw/e+G1xX/36H+BgAA//8DAFBLAQItABQABgAIAAAAIQC2gziS/gAA&#10;AOEBAAATAAAAAAAAAAAAAAAAAAAAAABbQ29udGVudF9UeXBlc10ueG1sUEsBAi0AFAAGAAgAAAAh&#10;ADj9If/WAAAAlAEAAAsAAAAAAAAAAAAAAAAALwEAAF9yZWxzLy5yZWxzUEsBAi0AFAAGAAgAAAAh&#10;AKX+X+zaAQAAEQQAAA4AAAAAAAAAAAAAAAAALgIAAGRycy9lMm9Eb2MueG1sUEsBAi0AFAAGAAgA&#10;AAAhAPnMSjfgAAAACwEAAA8AAAAAAAAAAAAAAAAANAQAAGRycy9kb3ducmV2LnhtbFBLBQYAAAAA&#10;BAAEAPMAAABBBQAAAAA=&#10;" strokecolor="#aeaaaa [2414]" strokeweight=".5pt">
                <v:stroke joinstyle="miter"/>
                <w10:wrap anchory="page"/>
              </v:line>
            </w:pict>
          </mc:Fallback>
        </mc:AlternateContent>
      </w:r>
      <w:r w:rsidR="0008269A">
        <w:t>for</w:t>
      </w:r>
      <w:r w:rsidR="006B5514">
        <w:t xml:space="preserve"> Norsk </w:t>
      </w:r>
      <w:r w:rsidR="004C34AE">
        <w:t>Presseforbund</w:t>
      </w:r>
      <w:r w:rsidR="004C34AE">
        <w:tab/>
      </w:r>
      <w:r w:rsidR="004C34AE">
        <w:tab/>
      </w:r>
      <w:r w:rsidR="004C34AE">
        <w:tab/>
        <w:t>Norsk Redaktørforening</w:t>
      </w:r>
      <w:r w:rsidR="004C34AE">
        <w:tab/>
      </w:r>
      <w:r w:rsidR="004C34AE">
        <w:tab/>
      </w:r>
      <w:r w:rsidR="004C34AE">
        <w:tab/>
        <w:t xml:space="preserve">Norsk </w:t>
      </w:r>
      <w:r w:rsidR="006B5514">
        <w:t>Journalistlag</w:t>
      </w:r>
    </w:p>
    <w:p w14:paraId="3E65DA08" w14:textId="01672E76" w:rsidR="006B5514" w:rsidRDefault="00762AE4" w:rsidP="006B5514">
      <w:pPr>
        <w:pStyle w:val="Ingenmellomrom"/>
      </w:pPr>
      <w:r>
        <w:rPr>
          <w:noProof/>
        </w:rPr>
        <w:drawing>
          <wp:inline distT="0" distB="0" distL="0" distR="0" wp14:anchorId="12422C1F" wp14:editId="0FA35531">
            <wp:extent cx="1323975" cy="485862"/>
            <wp:effectExtent l="0" t="0" r="0" b="9525"/>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8750" cy="538991"/>
                    </a:xfrm>
                    <a:prstGeom prst="rect">
                      <a:avLst/>
                    </a:prstGeom>
                    <a:noFill/>
                    <a:ln>
                      <a:noFill/>
                    </a:ln>
                  </pic:spPr>
                </pic:pic>
              </a:graphicData>
            </a:graphic>
          </wp:inline>
        </w:drawing>
      </w:r>
      <w:r w:rsidR="00B872C2">
        <w:tab/>
      </w:r>
      <w:r w:rsidR="004C34AE">
        <w:tab/>
      </w:r>
      <w:r w:rsidR="004C34AE">
        <w:tab/>
      </w:r>
      <w:r w:rsidR="004C34AE">
        <w:rPr>
          <w:noProof/>
        </w:rPr>
        <w:drawing>
          <wp:inline distT="0" distB="0" distL="0" distR="0" wp14:anchorId="0807E78F" wp14:editId="324B199D">
            <wp:extent cx="819150" cy="466725"/>
            <wp:effectExtent l="0" t="0" r="0" b="9525"/>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9943" cy="478572"/>
                    </a:xfrm>
                    <a:prstGeom prst="rect">
                      <a:avLst/>
                    </a:prstGeom>
                    <a:noFill/>
                    <a:ln>
                      <a:noFill/>
                    </a:ln>
                  </pic:spPr>
                </pic:pic>
              </a:graphicData>
            </a:graphic>
          </wp:inline>
        </w:drawing>
      </w:r>
      <w:r w:rsidR="00B872C2">
        <w:tab/>
      </w:r>
      <w:r w:rsidR="004C34AE">
        <w:tab/>
      </w:r>
      <w:r w:rsidR="004C34AE">
        <w:tab/>
      </w:r>
      <w:r w:rsidR="00B25926">
        <w:tab/>
      </w:r>
      <w:r w:rsidR="00B25926" w:rsidRPr="00963054">
        <w:rPr>
          <w:noProof/>
        </w:rPr>
        <w:drawing>
          <wp:inline distT="0" distB="0" distL="0" distR="0" wp14:anchorId="06226C83" wp14:editId="71A99436">
            <wp:extent cx="889000" cy="362340"/>
            <wp:effectExtent l="0" t="0" r="635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0193" cy="366902"/>
                    </a:xfrm>
                    <a:prstGeom prst="rect">
                      <a:avLst/>
                    </a:prstGeom>
                    <a:noFill/>
                    <a:ln>
                      <a:noFill/>
                    </a:ln>
                  </pic:spPr>
                </pic:pic>
              </a:graphicData>
            </a:graphic>
          </wp:inline>
        </w:drawing>
      </w:r>
    </w:p>
    <w:p w14:paraId="646A3753" w14:textId="77777777" w:rsidR="0008269A" w:rsidRPr="00B872C2" w:rsidRDefault="004C34AE" w:rsidP="009F1090">
      <w:pPr>
        <w:pStyle w:val="Ingenmellomrom"/>
        <w:rPr>
          <w:i/>
          <w:iCs/>
          <w:noProof/>
        </w:rPr>
      </w:pPr>
      <w:r>
        <w:rPr>
          <w:i/>
          <w:iCs/>
          <w:noProof/>
        </w:rPr>
        <w:t>jurist</w:t>
      </w:r>
      <w:r w:rsidR="00B25926">
        <w:rPr>
          <w:i/>
          <w:iCs/>
          <w:noProof/>
        </w:rPr>
        <w:tab/>
      </w:r>
      <w:r w:rsidR="00B25926">
        <w:rPr>
          <w:i/>
          <w:iCs/>
          <w:noProof/>
        </w:rPr>
        <w:tab/>
      </w:r>
      <w:r w:rsidR="00B25926">
        <w:rPr>
          <w:i/>
          <w:iCs/>
          <w:noProof/>
        </w:rPr>
        <w:tab/>
      </w:r>
      <w:r>
        <w:rPr>
          <w:i/>
          <w:iCs/>
          <w:noProof/>
        </w:rPr>
        <w:tab/>
      </w:r>
      <w:r>
        <w:rPr>
          <w:i/>
          <w:iCs/>
          <w:noProof/>
        </w:rPr>
        <w:tab/>
        <w:t>generalsekretær</w:t>
      </w:r>
      <w:r w:rsidR="00B25926">
        <w:rPr>
          <w:i/>
          <w:iCs/>
          <w:noProof/>
        </w:rPr>
        <w:tab/>
      </w:r>
      <w:r w:rsidR="00B25926">
        <w:rPr>
          <w:i/>
          <w:iCs/>
          <w:noProof/>
        </w:rPr>
        <w:tab/>
      </w:r>
      <w:r w:rsidR="00B25926">
        <w:rPr>
          <w:i/>
          <w:iCs/>
          <w:noProof/>
        </w:rPr>
        <w:tab/>
      </w:r>
      <w:r w:rsidR="00B25926">
        <w:rPr>
          <w:i/>
          <w:iCs/>
          <w:noProof/>
        </w:rPr>
        <w:tab/>
        <w:t>advokat</w:t>
      </w:r>
    </w:p>
    <w:sectPr w:rsidR="0008269A" w:rsidRPr="00B872C2" w:rsidSect="009F1090">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196B0" w14:textId="77777777" w:rsidR="00A60063" w:rsidRDefault="00A60063" w:rsidP="00484005">
      <w:pPr>
        <w:spacing w:after="0" w:line="240" w:lineRule="auto"/>
      </w:pPr>
      <w:r>
        <w:separator/>
      </w:r>
    </w:p>
  </w:endnote>
  <w:endnote w:type="continuationSeparator" w:id="0">
    <w:p w14:paraId="2119B851" w14:textId="77777777" w:rsidR="00A60063" w:rsidRDefault="00A60063" w:rsidP="00484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B W5 Plain">
    <w:altName w:val="Segoe UI Light"/>
    <w:panose1 w:val="00000000000000000000"/>
    <w:charset w:val="00"/>
    <w:family w:val="swiss"/>
    <w:notTrueType/>
    <w:pitch w:val="variable"/>
    <w:sig w:usb0="A000006F" w:usb1="5000200A" w:usb2="00000000" w:usb3="00000000" w:csb0="00000093" w:csb1="00000000"/>
  </w:font>
  <w:font w:name="TheSansB W8 ExtraBold">
    <w:altName w:val="Segoe UI Semibold"/>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75688" w14:textId="77777777" w:rsidR="00E96CA2" w:rsidRDefault="00E96CA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37180" w14:textId="77777777" w:rsidR="00484005" w:rsidRPr="002E4D96" w:rsidRDefault="002E4D96" w:rsidP="002E4D96">
    <w:pPr>
      <w:pStyle w:val="Bunntekst"/>
      <w:tabs>
        <w:tab w:val="left" w:pos="5692"/>
      </w:tabs>
      <w:rPr>
        <w:color w:val="7F7F7F" w:themeColor="text1" w:themeTint="80"/>
        <w:sz w:val="16"/>
        <w:szCs w:val="16"/>
      </w:rPr>
    </w:pPr>
    <w:r w:rsidRPr="002E4D96">
      <w:rPr>
        <w:color w:val="7F7F7F" w:themeColor="text1" w:themeTint="80"/>
        <w:sz w:val="16"/>
        <w:szCs w:val="16"/>
      </w:rPr>
      <w:tab/>
    </w:r>
    <w:r w:rsidR="0008269A">
      <w:rPr>
        <w:color w:val="7F7F7F" w:themeColor="text1" w:themeTint="80"/>
        <w:sz w:val="16"/>
        <w:szCs w:val="16"/>
      </w:rPr>
      <w:t>Norsk Journalistlag, s</w:t>
    </w:r>
    <w:r w:rsidR="00484005" w:rsidRPr="002E4D96">
      <w:rPr>
        <w:color w:val="7F7F7F" w:themeColor="text1" w:themeTint="80"/>
        <w:sz w:val="16"/>
        <w:szCs w:val="16"/>
      </w:rPr>
      <w:t xml:space="preserve">ide </w:t>
    </w:r>
    <w:sdt>
      <w:sdtPr>
        <w:rPr>
          <w:color w:val="7F7F7F" w:themeColor="text1" w:themeTint="80"/>
          <w:sz w:val="16"/>
          <w:szCs w:val="16"/>
        </w:rPr>
        <w:id w:val="-1070722191"/>
        <w:docPartObj>
          <w:docPartGallery w:val="Page Numbers (Bottom of Page)"/>
          <w:docPartUnique/>
        </w:docPartObj>
      </w:sdtPr>
      <w:sdtEndPr/>
      <w:sdtContent>
        <w:r w:rsidR="00484005" w:rsidRPr="002E4D96">
          <w:rPr>
            <w:color w:val="7F7F7F" w:themeColor="text1" w:themeTint="80"/>
            <w:sz w:val="16"/>
            <w:szCs w:val="16"/>
          </w:rPr>
          <w:fldChar w:fldCharType="begin"/>
        </w:r>
        <w:r w:rsidR="00484005" w:rsidRPr="002E4D96">
          <w:rPr>
            <w:color w:val="7F7F7F" w:themeColor="text1" w:themeTint="80"/>
            <w:sz w:val="16"/>
            <w:szCs w:val="16"/>
          </w:rPr>
          <w:instrText>PAGE   \* MERGEFORMAT</w:instrText>
        </w:r>
        <w:r w:rsidR="00484005" w:rsidRPr="002E4D96">
          <w:rPr>
            <w:color w:val="7F7F7F" w:themeColor="text1" w:themeTint="80"/>
            <w:sz w:val="16"/>
            <w:szCs w:val="16"/>
          </w:rPr>
          <w:fldChar w:fldCharType="separate"/>
        </w:r>
        <w:r w:rsidR="0008269A">
          <w:rPr>
            <w:noProof/>
            <w:color w:val="7F7F7F" w:themeColor="text1" w:themeTint="80"/>
            <w:sz w:val="16"/>
            <w:szCs w:val="16"/>
          </w:rPr>
          <w:t>2</w:t>
        </w:r>
        <w:r w:rsidR="00484005" w:rsidRPr="002E4D96">
          <w:rPr>
            <w:color w:val="7F7F7F" w:themeColor="text1" w:themeTint="80"/>
            <w:sz w:val="16"/>
            <w:szCs w:val="16"/>
          </w:rPr>
          <w:fldChar w:fldCharType="end"/>
        </w:r>
      </w:sdtContent>
    </w:sdt>
    <w:r w:rsidRPr="002E4D96">
      <w:rPr>
        <w:color w:val="7F7F7F" w:themeColor="text1" w:themeTint="80"/>
        <w:sz w:val="16"/>
        <w:szCs w:val="16"/>
      </w:rPr>
      <w:tab/>
    </w:r>
  </w:p>
  <w:p w14:paraId="5725F352" w14:textId="77777777" w:rsidR="00484005" w:rsidRDefault="00484005" w:rsidP="00484005">
    <w:pPr>
      <w:pStyle w:val="Bunnteks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3CA5A" w14:textId="77777777" w:rsidR="00E96CA2" w:rsidRDefault="00E96CA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027D1" w14:textId="77777777" w:rsidR="00A60063" w:rsidRDefault="00A60063" w:rsidP="00484005">
      <w:pPr>
        <w:spacing w:after="0" w:line="240" w:lineRule="auto"/>
      </w:pPr>
      <w:r>
        <w:separator/>
      </w:r>
    </w:p>
  </w:footnote>
  <w:footnote w:type="continuationSeparator" w:id="0">
    <w:p w14:paraId="31F3BB60" w14:textId="77777777" w:rsidR="00A60063" w:rsidRDefault="00A60063" w:rsidP="00484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09253" w14:textId="77777777" w:rsidR="00E96CA2" w:rsidRDefault="00E96CA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02D28" w14:textId="77777777" w:rsidR="00E96CA2" w:rsidRDefault="00E96CA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5BED2" w14:textId="77777777" w:rsidR="00D85A99" w:rsidRPr="00996362" w:rsidRDefault="00D85A99">
    <w:pPr>
      <w:pStyle w:val="Topptekst"/>
      <w:rPr>
        <w:color w:val="7F7F7F" w:themeColor="text1" w:themeTint="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80A0D"/>
    <w:multiLevelType w:val="hybridMultilevel"/>
    <w:tmpl w:val="2E6A168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81A"/>
    <w:rsid w:val="00003A9F"/>
    <w:rsid w:val="000345C1"/>
    <w:rsid w:val="00052F01"/>
    <w:rsid w:val="00075F72"/>
    <w:rsid w:val="0008269A"/>
    <w:rsid w:val="000A4ACD"/>
    <w:rsid w:val="000A4B86"/>
    <w:rsid w:val="000B4046"/>
    <w:rsid w:val="000B7B2F"/>
    <w:rsid w:val="000E4DD9"/>
    <w:rsid w:val="000E7905"/>
    <w:rsid w:val="00104C99"/>
    <w:rsid w:val="00111D51"/>
    <w:rsid w:val="00152551"/>
    <w:rsid w:val="001975C7"/>
    <w:rsid w:val="001B4E89"/>
    <w:rsid w:val="001F0841"/>
    <w:rsid w:val="00235F6C"/>
    <w:rsid w:val="0023790E"/>
    <w:rsid w:val="00263506"/>
    <w:rsid w:val="002658F7"/>
    <w:rsid w:val="00283D92"/>
    <w:rsid w:val="00291023"/>
    <w:rsid w:val="002A310F"/>
    <w:rsid w:val="002C094F"/>
    <w:rsid w:val="002E4D96"/>
    <w:rsid w:val="00312B72"/>
    <w:rsid w:val="003536D4"/>
    <w:rsid w:val="003C3073"/>
    <w:rsid w:val="004346E3"/>
    <w:rsid w:val="004477F1"/>
    <w:rsid w:val="00462525"/>
    <w:rsid w:val="0046324D"/>
    <w:rsid w:val="00475F45"/>
    <w:rsid w:val="00477969"/>
    <w:rsid w:val="00481764"/>
    <w:rsid w:val="00481CD8"/>
    <w:rsid w:val="00484005"/>
    <w:rsid w:val="004A0D06"/>
    <w:rsid w:val="004C34AE"/>
    <w:rsid w:val="004F7C12"/>
    <w:rsid w:val="005147ED"/>
    <w:rsid w:val="00537E9D"/>
    <w:rsid w:val="00551115"/>
    <w:rsid w:val="00576413"/>
    <w:rsid w:val="005A4A65"/>
    <w:rsid w:val="005F344E"/>
    <w:rsid w:val="005F481A"/>
    <w:rsid w:val="00627A1A"/>
    <w:rsid w:val="00637CDE"/>
    <w:rsid w:val="00637EF7"/>
    <w:rsid w:val="0066601A"/>
    <w:rsid w:val="00667D6E"/>
    <w:rsid w:val="0067127B"/>
    <w:rsid w:val="00674D49"/>
    <w:rsid w:val="00692A11"/>
    <w:rsid w:val="006B5514"/>
    <w:rsid w:val="006C0A21"/>
    <w:rsid w:val="006E1B6A"/>
    <w:rsid w:val="006E769B"/>
    <w:rsid w:val="00721F08"/>
    <w:rsid w:val="00762AE4"/>
    <w:rsid w:val="007634A4"/>
    <w:rsid w:val="0076779F"/>
    <w:rsid w:val="007941AF"/>
    <w:rsid w:val="007A03BC"/>
    <w:rsid w:val="007C1426"/>
    <w:rsid w:val="007C53E7"/>
    <w:rsid w:val="007E2E21"/>
    <w:rsid w:val="007E7ACA"/>
    <w:rsid w:val="00804F1F"/>
    <w:rsid w:val="00825052"/>
    <w:rsid w:val="00833066"/>
    <w:rsid w:val="008518ED"/>
    <w:rsid w:val="008B3276"/>
    <w:rsid w:val="008C7264"/>
    <w:rsid w:val="00945FA3"/>
    <w:rsid w:val="00955AE5"/>
    <w:rsid w:val="00962D24"/>
    <w:rsid w:val="00996362"/>
    <w:rsid w:val="009A0BFF"/>
    <w:rsid w:val="009B3593"/>
    <w:rsid w:val="009E4EF2"/>
    <w:rsid w:val="009E5BA6"/>
    <w:rsid w:val="009F1090"/>
    <w:rsid w:val="00A03438"/>
    <w:rsid w:val="00A24949"/>
    <w:rsid w:val="00A54827"/>
    <w:rsid w:val="00A60063"/>
    <w:rsid w:val="00A63EC3"/>
    <w:rsid w:val="00AA0A7B"/>
    <w:rsid w:val="00AA244E"/>
    <w:rsid w:val="00AB5814"/>
    <w:rsid w:val="00AD4891"/>
    <w:rsid w:val="00AE0C0E"/>
    <w:rsid w:val="00B25926"/>
    <w:rsid w:val="00B519EC"/>
    <w:rsid w:val="00B872C2"/>
    <w:rsid w:val="00BE1314"/>
    <w:rsid w:val="00BE2778"/>
    <w:rsid w:val="00C01BBB"/>
    <w:rsid w:val="00C1201E"/>
    <w:rsid w:val="00C175EC"/>
    <w:rsid w:val="00C27F83"/>
    <w:rsid w:val="00C36F4B"/>
    <w:rsid w:val="00CB5E57"/>
    <w:rsid w:val="00CC1B42"/>
    <w:rsid w:val="00CF1555"/>
    <w:rsid w:val="00D07879"/>
    <w:rsid w:val="00D7185B"/>
    <w:rsid w:val="00D85A99"/>
    <w:rsid w:val="00D90AE1"/>
    <w:rsid w:val="00DC63B6"/>
    <w:rsid w:val="00DE263A"/>
    <w:rsid w:val="00E06E9F"/>
    <w:rsid w:val="00E21403"/>
    <w:rsid w:val="00E376BE"/>
    <w:rsid w:val="00E51E77"/>
    <w:rsid w:val="00E62904"/>
    <w:rsid w:val="00E804CB"/>
    <w:rsid w:val="00E84CAE"/>
    <w:rsid w:val="00E905E1"/>
    <w:rsid w:val="00E965DF"/>
    <w:rsid w:val="00E96CA2"/>
    <w:rsid w:val="00EA4425"/>
    <w:rsid w:val="00EC0F89"/>
    <w:rsid w:val="00EC6A60"/>
    <w:rsid w:val="00ED6587"/>
    <w:rsid w:val="00ED738D"/>
    <w:rsid w:val="00EE6791"/>
    <w:rsid w:val="00F15F16"/>
    <w:rsid w:val="00F33330"/>
    <w:rsid w:val="00F45D3F"/>
    <w:rsid w:val="00F67C78"/>
    <w:rsid w:val="00F83234"/>
    <w:rsid w:val="00FA4B09"/>
    <w:rsid w:val="00FC2940"/>
    <w:rsid w:val="00FD2353"/>
    <w:rsid w:val="00FD4F6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C0BEAA"/>
  <w15:chartTrackingRefBased/>
  <w15:docId w15:val="{DE74EF78-01CC-4D72-9694-3178E9D53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75C7"/>
    <w:rPr>
      <w:rFonts w:ascii="TheSansB W5 Plain" w:hAnsi="TheSansB W5 Plain"/>
      <w:sz w:val="20"/>
    </w:rPr>
  </w:style>
  <w:style w:type="paragraph" w:styleId="Overskrift1">
    <w:name w:val="heading 1"/>
    <w:basedOn w:val="Normal"/>
    <w:next w:val="Normal"/>
    <w:link w:val="Overskrift1Tegn"/>
    <w:uiPriority w:val="9"/>
    <w:qFormat/>
    <w:rsid w:val="00637EF7"/>
    <w:pPr>
      <w:keepNext/>
      <w:keepLines/>
      <w:spacing w:before="240" w:after="0"/>
      <w:outlineLvl w:val="0"/>
    </w:pPr>
    <w:rPr>
      <w:rFonts w:ascii="TheSansB W8 ExtraBold" w:eastAsiaTheme="majorEastAsia" w:hAnsi="TheSansB W8 ExtraBold" w:cstheme="majorBidi"/>
      <w:sz w:val="32"/>
      <w:szCs w:val="32"/>
    </w:rPr>
  </w:style>
  <w:style w:type="paragraph" w:styleId="Overskrift2">
    <w:name w:val="heading 2"/>
    <w:basedOn w:val="Normal"/>
    <w:next w:val="Normal"/>
    <w:link w:val="Overskrift2Tegn"/>
    <w:uiPriority w:val="9"/>
    <w:unhideWhenUsed/>
    <w:qFormat/>
    <w:rsid w:val="00637EF7"/>
    <w:pPr>
      <w:keepNext/>
      <w:keepLines/>
      <w:spacing w:before="40" w:after="0"/>
      <w:outlineLvl w:val="1"/>
    </w:pPr>
    <w:rPr>
      <w:rFonts w:ascii="TheSansB W8 ExtraBold" w:eastAsiaTheme="majorEastAsia" w:hAnsi="TheSansB W8 ExtraBold" w:cstheme="majorBidi"/>
      <w:sz w:val="26"/>
      <w:szCs w:val="26"/>
    </w:rPr>
  </w:style>
  <w:style w:type="paragraph" w:styleId="Overskrift3">
    <w:name w:val="heading 3"/>
    <w:basedOn w:val="Normal"/>
    <w:next w:val="Normal"/>
    <w:link w:val="Overskrift3Tegn"/>
    <w:uiPriority w:val="9"/>
    <w:unhideWhenUsed/>
    <w:qFormat/>
    <w:rsid w:val="001975C7"/>
    <w:pPr>
      <w:keepNext/>
      <w:keepLines/>
      <w:spacing w:before="40" w:after="0"/>
      <w:outlineLvl w:val="2"/>
    </w:pPr>
    <w:rPr>
      <w:rFonts w:eastAsiaTheme="majorEastAsia" w:cstheme="majorBidi"/>
      <w:sz w:val="24"/>
      <w:szCs w:val="24"/>
    </w:rPr>
  </w:style>
  <w:style w:type="paragraph" w:styleId="Overskrift4">
    <w:name w:val="heading 4"/>
    <w:basedOn w:val="Normal"/>
    <w:next w:val="Normal"/>
    <w:link w:val="Overskrift4Tegn"/>
    <w:uiPriority w:val="9"/>
    <w:semiHidden/>
    <w:unhideWhenUsed/>
    <w:qFormat/>
    <w:rsid w:val="001975C7"/>
    <w:pPr>
      <w:keepNext/>
      <w:keepLines/>
      <w:spacing w:before="40" w:after="0"/>
      <w:outlineLvl w:val="3"/>
    </w:pPr>
    <w:rPr>
      <w:rFonts w:eastAsiaTheme="majorEastAsia" w:cstheme="majorBidi"/>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1975C7"/>
    <w:pPr>
      <w:spacing w:after="0" w:line="240" w:lineRule="auto"/>
    </w:pPr>
    <w:rPr>
      <w:rFonts w:ascii="TheSansB W5 Plain" w:hAnsi="TheSansB W5 Plain"/>
      <w:sz w:val="20"/>
    </w:rPr>
  </w:style>
  <w:style w:type="character" w:customStyle="1" w:styleId="Overskrift1Tegn">
    <w:name w:val="Overskrift 1 Tegn"/>
    <w:basedOn w:val="Standardskriftforavsnitt"/>
    <w:link w:val="Overskrift1"/>
    <w:uiPriority w:val="9"/>
    <w:rsid w:val="00637EF7"/>
    <w:rPr>
      <w:rFonts w:ascii="TheSansB W8 ExtraBold" w:eastAsiaTheme="majorEastAsia" w:hAnsi="TheSansB W8 ExtraBold" w:cstheme="majorBidi"/>
      <w:sz w:val="32"/>
      <w:szCs w:val="32"/>
    </w:rPr>
  </w:style>
  <w:style w:type="character" w:customStyle="1" w:styleId="Overskrift2Tegn">
    <w:name w:val="Overskrift 2 Tegn"/>
    <w:basedOn w:val="Standardskriftforavsnitt"/>
    <w:link w:val="Overskrift2"/>
    <w:uiPriority w:val="9"/>
    <w:rsid w:val="00637EF7"/>
    <w:rPr>
      <w:rFonts w:ascii="TheSansB W8 ExtraBold" w:eastAsiaTheme="majorEastAsia" w:hAnsi="TheSansB W8 ExtraBold" w:cstheme="majorBidi"/>
      <w:sz w:val="26"/>
      <w:szCs w:val="26"/>
    </w:rPr>
  </w:style>
  <w:style w:type="paragraph" w:styleId="Tittel">
    <w:name w:val="Title"/>
    <w:basedOn w:val="Normal"/>
    <w:next w:val="Normal"/>
    <w:link w:val="TittelTegn"/>
    <w:uiPriority w:val="10"/>
    <w:qFormat/>
    <w:rsid w:val="00637EF7"/>
    <w:pPr>
      <w:spacing w:after="0" w:line="240" w:lineRule="auto"/>
      <w:contextualSpacing/>
    </w:pPr>
    <w:rPr>
      <w:rFonts w:ascii="TheSansB W8 ExtraBold" w:eastAsiaTheme="majorEastAsia" w:hAnsi="TheSansB W8 ExtraBold" w:cstheme="majorBidi"/>
      <w:spacing w:val="-10"/>
      <w:kern w:val="28"/>
      <w:sz w:val="56"/>
      <w:szCs w:val="56"/>
    </w:rPr>
  </w:style>
  <w:style w:type="character" w:customStyle="1" w:styleId="TittelTegn">
    <w:name w:val="Tittel Tegn"/>
    <w:basedOn w:val="Standardskriftforavsnitt"/>
    <w:link w:val="Tittel"/>
    <w:uiPriority w:val="10"/>
    <w:rsid w:val="00637EF7"/>
    <w:rPr>
      <w:rFonts w:ascii="TheSansB W8 ExtraBold" w:eastAsiaTheme="majorEastAsia" w:hAnsi="TheSansB W8 ExtraBold" w:cstheme="majorBidi"/>
      <w:spacing w:val="-10"/>
      <w:kern w:val="28"/>
      <w:sz w:val="56"/>
      <w:szCs w:val="56"/>
    </w:rPr>
  </w:style>
  <w:style w:type="paragraph" w:styleId="Undertittel">
    <w:name w:val="Subtitle"/>
    <w:basedOn w:val="Normal"/>
    <w:next w:val="Normal"/>
    <w:link w:val="UndertittelTegn"/>
    <w:uiPriority w:val="11"/>
    <w:qFormat/>
    <w:rsid w:val="00637EF7"/>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637EF7"/>
    <w:rPr>
      <w:rFonts w:ascii="TheSansB W5 Plain" w:eastAsiaTheme="minorEastAsia" w:hAnsi="TheSansB W5 Plain"/>
      <w:color w:val="5A5A5A" w:themeColor="text1" w:themeTint="A5"/>
      <w:spacing w:val="15"/>
    </w:rPr>
  </w:style>
  <w:style w:type="character" w:styleId="Svakutheving">
    <w:name w:val="Subtle Emphasis"/>
    <w:basedOn w:val="Standardskriftforavsnitt"/>
    <w:uiPriority w:val="19"/>
    <w:qFormat/>
    <w:rsid w:val="00637EF7"/>
    <w:rPr>
      <w:rFonts w:ascii="TheSansB W5 Plain" w:hAnsi="TheSansB W5 Plain"/>
      <w:i/>
      <w:iCs/>
      <w:color w:val="404040" w:themeColor="text1" w:themeTint="BF"/>
    </w:rPr>
  </w:style>
  <w:style w:type="character" w:styleId="Utheving">
    <w:name w:val="Emphasis"/>
    <w:basedOn w:val="Standardskriftforavsnitt"/>
    <w:uiPriority w:val="20"/>
    <w:qFormat/>
    <w:rsid w:val="00637EF7"/>
    <w:rPr>
      <w:rFonts w:ascii="TheSansB W5 Plain" w:hAnsi="TheSansB W5 Plain"/>
      <w:i/>
      <w:iCs/>
    </w:rPr>
  </w:style>
  <w:style w:type="character" w:styleId="Sterkutheving">
    <w:name w:val="Intense Emphasis"/>
    <w:basedOn w:val="Standardskriftforavsnitt"/>
    <w:uiPriority w:val="21"/>
    <w:qFormat/>
    <w:rsid w:val="00637EF7"/>
    <w:rPr>
      <w:rFonts w:ascii="TheSansB W5 Plain" w:hAnsi="TheSansB W5 Plain"/>
      <w:i/>
      <w:iCs/>
      <w:color w:val="000000" w:themeColor="text1"/>
    </w:rPr>
  </w:style>
  <w:style w:type="character" w:customStyle="1" w:styleId="Overskrift3Tegn">
    <w:name w:val="Overskrift 3 Tegn"/>
    <w:basedOn w:val="Standardskriftforavsnitt"/>
    <w:link w:val="Overskrift3"/>
    <w:uiPriority w:val="9"/>
    <w:rsid w:val="001975C7"/>
    <w:rPr>
      <w:rFonts w:ascii="TheSansB W5 Plain" w:eastAsiaTheme="majorEastAsia" w:hAnsi="TheSansB W5 Plain" w:cstheme="majorBidi"/>
      <w:sz w:val="24"/>
      <w:szCs w:val="24"/>
    </w:rPr>
  </w:style>
  <w:style w:type="character" w:customStyle="1" w:styleId="Overskrift4Tegn">
    <w:name w:val="Overskrift 4 Tegn"/>
    <w:basedOn w:val="Standardskriftforavsnitt"/>
    <w:link w:val="Overskrift4"/>
    <w:uiPriority w:val="9"/>
    <w:semiHidden/>
    <w:rsid w:val="001975C7"/>
    <w:rPr>
      <w:rFonts w:ascii="TheSansB W5 Plain" w:eastAsiaTheme="majorEastAsia" w:hAnsi="TheSansB W5 Plain" w:cstheme="majorBidi"/>
      <w:i/>
      <w:iCs/>
      <w:sz w:val="20"/>
    </w:rPr>
  </w:style>
  <w:style w:type="character" w:styleId="Plassholdertekst">
    <w:name w:val="Placeholder Text"/>
    <w:basedOn w:val="Standardskriftforavsnitt"/>
    <w:uiPriority w:val="99"/>
    <w:semiHidden/>
    <w:rsid w:val="006B5514"/>
    <w:rPr>
      <w:color w:val="808080"/>
    </w:rPr>
  </w:style>
  <w:style w:type="paragraph" w:styleId="Bobletekst">
    <w:name w:val="Balloon Text"/>
    <w:basedOn w:val="Normal"/>
    <w:link w:val="BobletekstTegn"/>
    <w:uiPriority w:val="99"/>
    <w:semiHidden/>
    <w:unhideWhenUsed/>
    <w:rsid w:val="00475F4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75F45"/>
    <w:rPr>
      <w:rFonts w:ascii="Segoe UI" w:hAnsi="Segoe UI" w:cs="Segoe UI"/>
      <w:sz w:val="18"/>
      <w:szCs w:val="18"/>
    </w:rPr>
  </w:style>
  <w:style w:type="paragraph" w:styleId="Topptekst">
    <w:name w:val="header"/>
    <w:basedOn w:val="Normal"/>
    <w:link w:val="TopptekstTegn"/>
    <w:uiPriority w:val="99"/>
    <w:unhideWhenUsed/>
    <w:qFormat/>
    <w:rsid w:val="0048400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84005"/>
    <w:rPr>
      <w:rFonts w:ascii="TheSansB W5 Plain" w:hAnsi="TheSansB W5 Plain"/>
      <w:sz w:val="20"/>
    </w:rPr>
  </w:style>
  <w:style w:type="paragraph" w:styleId="Bunntekst">
    <w:name w:val="footer"/>
    <w:basedOn w:val="Normal"/>
    <w:link w:val="BunntekstTegn"/>
    <w:uiPriority w:val="99"/>
    <w:unhideWhenUsed/>
    <w:rsid w:val="0048400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84005"/>
    <w:rPr>
      <w:rFonts w:ascii="TheSansB W5 Plain" w:hAnsi="TheSansB W5 Plain"/>
      <w:sz w:val="20"/>
    </w:rPr>
  </w:style>
  <w:style w:type="character" w:styleId="Hyperkobling">
    <w:name w:val="Hyperlink"/>
    <w:basedOn w:val="Standardskriftforavsnitt"/>
    <w:uiPriority w:val="99"/>
    <w:unhideWhenUsed/>
    <w:rsid w:val="00E96CA2"/>
    <w:rPr>
      <w:color w:val="0563C1" w:themeColor="hyperlink"/>
      <w:u w:val="single"/>
    </w:rPr>
  </w:style>
  <w:style w:type="character" w:styleId="Ulstomtale">
    <w:name w:val="Unresolved Mention"/>
    <w:basedOn w:val="Standardskriftforavsnitt"/>
    <w:uiPriority w:val="99"/>
    <w:semiHidden/>
    <w:unhideWhenUsed/>
    <w:rsid w:val="00E96CA2"/>
    <w:rPr>
      <w:color w:val="808080"/>
      <w:shd w:val="clear" w:color="auto" w:fill="E6E6E6"/>
    </w:rPr>
  </w:style>
  <w:style w:type="paragraph" w:customStyle="1" w:styleId="Default">
    <w:name w:val="Default"/>
    <w:rsid w:val="00551115"/>
    <w:pPr>
      <w:autoSpaceDE w:val="0"/>
      <w:autoSpaceDN w:val="0"/>
      <w:adjustRightInd w:val="0"/>
      <w:spacing w:after="0" w:line="240" w:lineRule="auto"/>
    </w:pPr>
    <w:rPr>
      <w:rFonts w:ascii="Calibri" w:hAnsi="Calibri" w:cs="Calibri"/>
      <w:color w:val="000000"/>
      <w:sz w:val="24"/>
      <w:szCs w:val="24"/>
    </w:rPr>
  </w:style>
  <w:style w:type="paragraph" w:styleId="Listeavsnitt">
    <w:name w:val="List Paragraph"/>
    <w:basedOn w:val="Normal"/>
    <w:uiPriority w:val="34"/>
    <w:qFormat/>
    <w:rsid w:val="00804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jeringen.no/no/aktuelt/ekspertutredning-om-datalagring-og-menneskerettighetene/id2455164/"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a\Desktop\Brevmal%20NJ%20B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E092E300F84E099B41EC8068D1CBCD"/>
        <w:category>
          <w:name w:val="Generelt"/>
          <w:gallery w:val="placeholder"/>
        </w:category>
        <w:types>
          <w:type w:val="bbPlcHdr"/>
        </w:types>
        <w:behaviors>
          <w:behavior w:val="content"/>
        </w:behaviors>
        <w:guid w:val="{FFC0020E-0577-48D3-AABD-B9BFE043BC24}"/>
      </w:docPartPr>
      <w:docPartBody>
        <w:p w:rsidR="00D126CC" w:rsidRDefault="008B1AE3">
          <w:pPr>
            <w:pStyle w:val="1EE092E300F84E099B41EC8068D1CBCD"/>
          </w:pPr>
          <w:r>
            <w:t>Sett inn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B W5 Plain">
    <w:altName w:val="Segoe UI Light"/>
    <w:panose1 w:val="00000000000000000000"/>
    <w:charset w:val="00"/>
    <w:family w:val="swiss"/>
    <w:notTrueType/>
    <w:pitch w:val="variable"/>
    <w:sig w:usb0="A000006F" w:usb1="5000200A" w:usb2="00000000" w:usb3="00000000" w:csb0="00000093" w:csb1="00000000"/>
  </w:font>
  <w:font w:name="TheSansB W8 ExtraBold">
    <w:altName w:val="Segoe UI Semibold"/>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AE3"/>
    <w:rsid w:val="0024633B"/>
    <w:rsid w:val="002C17A1"/>
    <w:rsid w:val="004F2EE9"/>
    <w:rsid w:val="005464F1"/>
    <w:rsid w:val="00835B3A"/>
    <w:rsid w:val="008B1AE3"/>
    <w:rsid w:val="009A5070"/>
    <w:rsid w:val="00BF6541"/>
    <w:rsid w:val="00C84B24"/>
    <w:rsid w:val="00CC5580"/>
    <w:rsid w:val="00D126CC"/>
    <w:rsid w:val="00D847CF"/>
    <w:rsid w:val="00E86B79"/>
    <w:rsid w:val="00F46318"/>
    <w:rsid w:val="00F642F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CE52B27DF5ED4A949A7C0CBD57D412ED">
    <w:name w:val="CE52B27DF5ED4A949A7C0CBD57D412ED"/>
  </w:style>
  <w:style w:type="paragraph" w:customStyle="1" w:styleId="1EE092E300F84E099B41EC8068D1CBCD">
    <w:name w:val="1EE092E300F84E099B41EC8068D1CBCD"/>
  </w:style>
  <w:style w:type="paragraph" w:customStyle="1" w:styleId="9354317ECF7C4F45B3292634CF855316">
    <w:name w:val="9354317ECF7C4F45B3292634CF855316"/>
  </w:style>
  <w:style w:type="paragraph" w:customStyle="1" w:styleId="4E920E91FD6E4DF7B31BEADE289FBDD0">
    <w:name w:val="4E920E91FD6E4DF7B31BEADE289FBDD0"/>
  </w:style>
  <w:style w:type="paragraph" w:customStyle="1" w:styleId="9BF9A401897D4D7F83B46BD3EB1E4985">
    <w:name w:val="9BF9A401897D4D7F83B46BD3EB1E4985"/>
  </w:style>
  <w:style w:type="paragraph" w:customStyle="1" w:styleId="AD51883A67404A6CB778D5B76140839B">
    <w:name w:val="AD51883A67404A6CB778D5B7614083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91B9E-573F-4709-A232-D4CC05A45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 NJ B19.dotx</Template>
  <TotalTime>2</TotalTime>
  <Pages>4</Pages>
  <Words>1703</Words>
  <Characters>9027</Characters>
  <Application>Microsoft Office Word</Application>
  <DocSecurity>4</DocSecurity>
  <Lines>75</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Lindahl Nyrud</dc:creator>
  <cp:keywords/>
  <dc:description/>
  <cp:lastModifiedBy>arne.jensen@nored.no</cp:lastModifiedBy>
  <cp:revision>2</cp:revision>
  <cp:lastPrinted>2019-09-18T06:55:00Z</cp:lastPrinted>
  <dcterms:created xsi:type="dcterms:W3CDTF">2019-09-27T07:10:00Z</dcterms:created>
  <dcterms:modified xsi:type="dcterms:W3CDTF">2019-09-27T07:10:00Z</dcterms:modified>
</cp:coreProperties>
</file>