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201</w:t>
      </w:r>
      <w:r w:rsidR="002A4253">
        <w:rPr>
          <w:rFonts w:asciiTheme="minorHAnsi" w:hAnsiTheme="minorHAnsi"/>
        </w:rPr>
        <w:t>8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1C4D63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1C4D63">
        <w:rPr>
          <w:rFonts w:asciiTheme="minorHAnsi" w:hAnsiTheme="minorHAnsi"/>
        </w:rPr>
        <w:t>2</w:t>
      </w:r>
      <w:r w:rsidR="002A4253">
        <w:rPr>
          <w:rFonts w:asciiTheme="minorHAnsi" w:hAnsiTheme="minorHAnsi"/>
        </w:rPr>
        <w:t>1</w:t>
      </w:r>
      <w:r w:rsidR="000231E3" w:rsidRPr="00A374FC">
        <w:rPr>
          <w:rFonts w:asciiTheme="minorHAnsi" w:hAnsiTheme="minorHAnsi"/>
        </w:rPr>
        <w:t xml:space="preserve"> </w:t>
      </w:r>
      <w:r w:rsidR="002A4253">
        <w:rPr>
          <w:rFonts w:asciiTheme="minorHAnsi" w:hAnsiTheme="minorHAnsi"/>
        </w:rPr>
        <w:t>B</w:t>
      </w:r>
      <w:r w:rsidR="001C4D63">
        <w:rPr>
          <w:rFonts w:asciiTheme="minorHAnsi" w:hAnsiTheme="minorHAnsi"/>
        </w:rPr>
        <w:t>russel</w:t>
      </w:r>
    </w:p>
    <w:p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:rsidR="001979E8" w:rsidRDefault="001979E8">
      <w:pPr>
        <w:rPr>
          <w:rFonts w:asciiTheme="minorHAnsi" w:hAnsiTheme="minorHAnsi"/>
          <w:sz w:val="24"/>
          <w:szCs w:val="24"/>
        </w:rPr>
      </w:pPr>
    </w:p>
    <w:p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201</w:t>
      </w:r>
      <w:r w:rsidR="002A4253">
        <w:rPr>
          <w:rFonts w:asciiTheme="minorHAnsi" w:hAnsiTheme="minorHAnsi" w:cs="Arial"/>
          <w:b/>
          <w:i/>
          <w:sz w:val="28"/>
          <w:szCs w:val="28"/>
        </w:rPr>
        <w:t>8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1C4D63">
        <w:rPr>
          <w:rFonts w:asciiTheme="minorHAnsi" w:hAnsiTheme="minorHAnsi" w:cs="Arial"/>
          <w:b/>
          <w:i/>
          <w:sz w:val="28"/>
          <w:szCs w:val="28"/>
        </w:rPr>
        <w:t>34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1C4D63">
        <w:rPr>
          <w:rFonts w:asciiTheme="minorHAnsi" w:hAnsiTheme="minorHAnsi" w:cs="Arial"/>
          <w:b/>
          <w:i/>
          <w:sz w:val="28"/>
          <w:szCs w:val="28"/>
        </w:rPr>
        <w:t>31. august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2018</w:t>
      </w:r>
    </w:p>
    <w:p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D237E1" w:rsidRPr="00A374FC">
        <w:rPr>
          <w:rFonts w:asciiTheme="minorHAnsi" w:hAnsiTheme="minorHAnsi"/>
          <w:sz w:val="24"/>
          <w:szCs w:val="24"/>
        </w:rPr>
        <w:t>3</w:t>
      </w:r>
      <w:r w:rsidR="001C4D63">
        <w:rPr>
          <w:rFonts w:asciiTheme="minorHAnsi" w:hAnsiTheme="minorHAnsi"/>
          <w:sz w:val="24"/>
          <w:szCs w:val="24"/>
        </w:rPr>
        <w:t>1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1C4D63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</w:t>
      </w:r>
      <w:r w:rsidR="001C4D63">
        <w:rPr>
          <w:rFonts w:asciiTheme="minorHAnsi" w:hAnsiTheme="minorHAnsi"/>
          <w:sz w:val="24"/>
          <w:szCs w:val="24"/>
        </w:rPr>
        <w:t>100</w:t>
      </w:r>
      <w:r w:rsidR="00E34490" w:rsidRPr="00A374FC">
        <w:rPr>
          <w:rFonts w:asciiTheme="minorHAnsi" w:hAnsiTheme="minorHAnsi"/>
          <w:sz w:val="24"/>
          <w:szCs w:val="24"/>
        </w:rPr>
        <w:t xml:space="preserve">.000 kroner </w:t>
      </w:r>
      <w:r w:rsidR="001C4D63">
        <w:rPr>
          <w:rFonts w:asciiTheme="minorHAnsi" w:hAnsiTheme="minorHAnsi"/>
          <w:sz w:val="24"/>
          <w:szCs w:val="24"/>
        </w:rPr>
        <w:t>over</w:t>
      </w:r>
      <w:r w:rsidR="00E34490" w:rsidRPr="00A374FC">
        <w:rPr>
          <w:rFonts w:asciiTheme="minorHAnsi" w:hAnsiTheme="minorHAnsi"/>
          <w:sz w:val="24"/>
          <w:szCs w:val="24"/>
        </w:rPr>
        <w:t xml:space="preserve"> det </w:t>
      </w:r>
      <w:r w:rsidR="00C41E8F" w:rsidRPr="00A374FC">
        <w:rPr>
          <w:rFonts w:asciiTheme="minorHAnsi" w:hAnsiTheme="minorHAnsi"/>
          <w:sz w:val="24"/>
          <w:szCs w:val="24"/>
        </w:rPr>
        <w:t>budsjetterte</w:t>
      </w:r>
      <w:r w:rsidR="002A4253">
        <w:rPr>
          <w:rFonts w:asciiTheme="minorHAnsi" w:hAnsiTheme="minorHAnsi"/>
          <w:sz w:val="24"/>
          <w:szCs w:val="24"/>
        </w:rPr>
        <w:t>, hvilket er meget tilfredsstillende</w:t>
      </w:r>
      <w:r w:rsidR="001C4D63">
        <w:rPr>
          <w:rFonts w:asciiTheme="minorHAnsi" w:hAnsiTheme="minorHAnsi"/>
          <w:sz w:val="24"/>
          <w:szCs w:val="24"/>
        </w:rPr>
        <w:t>.</w:t>
      </w:r>
      <w:r w:rsidR="002A4253">
        <w:rPr>
          <w:rFonts w:asciiTheme="minorHAnsi" w:hAnsiTheme="minorHAnsi"/>
          <w:sz w:val="24"/>
          <w:szCs w:val="24"/>
        </w:rPr>
        <w:t xml:space="preserve"> Vi har budsjettert forsiktig</w:t>
      </w:r>
      <w:r w:rsidR="001C4D63">
        <w:rPr>
          <w:rFonts w:asciiTheme="minorHAnsi" w:hAnsiTheme="minorHAnsi"/>
          <w:sz w:val="24"/>
          <w:szCs w:val="24"/>
        </w:rPr>
        <w:t xml:space="preserve"> for 2018</w:t>
      </w:r>
      <w:r w:rsidR="002A4253">
        <w:rPr>
          <w:rFonts w:asciiTheme="minorHAnsi" w:hAnsiTheme="minorHAnsi"/>
          <w:sz w:val="24"/>
          <w:szCs w:val="24"/>
        </w:rPr>
        <w:t>, ut fra 690 årskontingenter, men medlemstallet har så langt i år</w:t>
      </w:r>
      <w:r w:rsidR="001C4D63">
        <w:rPr>
          <w:rFonts w:asciiTheme="minorHAnsi" w:hAnsiTheme="minorHAnsi"/>
          <w:sz w:val="24"/>
          <w:szCs w:val="24"/>
        </w:rPr>
        <w:t xml:space="preserve"> har ligget godt over 700</w:t>
      </w:r>
      <w:r w:rsidR="0006531E">
        <w:rPr>
          <w:rFonts w:asciiTheme="minorHAnsi" w:hAnsiTheme="minorHAnsi"/>
          <w:sz w:val="24"/>
          <w:szCs w:val="24"/>
        </w:rPr>
        <w:t>,</w:t>
      </w:r>
      <w:r w:rsidR="002A4253">
        <w:rPr>
          <w:rFonts w:asciiTheme="minorHAnsi" w:hAnsiTheme="minorHAnsi"/>
          <w:sz w:val="24"/>
          <w:szCs w:val="24"/>
        </w:rPr>
        <w:t xml:space="preserve"> og vi har per i dag registrert </w:t>
      </w:r>
      <w:r w:rsidR="001C4D63">
        <w:rPr>
          <w:rFonts w:asciiTheme="minorHAnsi" w:hAnsiTheme="minorHAnsi"/>
          <w:sz w:val="24"/>
          <w:szCs w:val="24"/>
        </w:rPr>
        <w:t xml:space="preserve">rundt </w:t>
      </w:r>
      <w:r w:rsidR="002A4253">
        <w:rPr>
          <w:rFonts w:asciiTheme="minorHAnsi" w:hAnsiTheme="minorHAnsi"/>
          <w:sz w:val="24"/>
          <w:szCs w:val="24"/>
        </w:rPr>
        <w:t>20 flere medlemmer enn på samme tidspunkt i fjor.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Sekretariatet jobber systematisk med å holde oversikt over bevegelser i bransjen, for å følge opp potensielle medlemskandidater.</w:t>
      </w:r>
    </w:p>
    <w:p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Pr="002A4253">
        <w:rPr>
          <w:rFonts w:asciiTheme="minorHAnsi" w:hAnsiTheme="minorHAnsi"/>
          <w:sz w:val="24"/>
          <w:szCs w:val="24"/>
          <w:u w:val="single"/>
        </w:rPr>
        <w:t>Refusjon</w:t>
      </w:r>
      <w:r>
        <w:rPr>
          <w:rFonts w:asciiTheme="minorHAnsi" w:hAnsiTheme="minorHAnsi"/>
          <w:sz w:val="24"/>
          <w:szCs w:val="24"/>
        </w:rPr>
        <w:t xml:space="preserve"> fra Oslo Redaktørforening og </w:t>
      </w:r>
      <w:r w:rsidR="00C94A83">
        <w:rPr>
          <w:rFonts w:asciiTheme="minorHAnsi" w:hAnsiTheme="minorHAnsi"/>
          <w:sz w:val="24"/>
          <w:szCs w:val="24"/>
          <w:u w:val="single"/>
        </w:rPr>
        <w:t>p</w:t>
      </w:r>
      <w:r w:rsidRPr="002A4253">
        <w:rPr>
          <w:rFonts w:asciiTheme="minorHAnsi" w:hAnsiTheme="minorHAnsi"/>
          <w:sz w:val="24"/>
          <w:szCs w:val="24"/>
          <w:u w:val="single"/>
        </w:rPr>
        <w:t>rosjektmidler/PFF</w:t>
      </w:r>
      <w:r>
        <w:rPr>
          <w:rFonts w:asciiTheme="minorHAnsi" w:hAnsiTheme="minorHAnsi"/>
          <w:sz w:val="24"/>
          <w:szCs w:val="24"/>
        </w:rPr>
        <w:t xml:space="preserve"> vil bli som budsjettert</w:t>
      </w:r>
      <w:r w:rsidR="001C4D63">
        <w:rPr>
          <w:rFonts w:asciiTheme="minorHAnsi" w:hAnsiTheme="minorHAnsi"/>
          <w:sz w:val="24"/>
          <w:szCs w:val="24"/>
        </w:rPr>
        <w:t>, selv om vi i dag ligger litt etter</w:t>
      </w:r>
      <w:r>
        <w:rPr>
          <w:rFonts w:asciiTheme="minorHAnsi" w:hAnsiTheme="minorHAnsi"/>
          <w:sz w:val="24"/>
          <w:szCs w:val="24"/>
        </w:rPr>
        <w:t xml:space="preserve">. </w:t>
      </w:r>
      <w:r w:rsidR="000231E3" w:rsidRPr="00A374FC">
        <w:rPr>
          <w:rFonts w:asciiTheme="minorHAnsi" w:hAnsiTheme="minorHAnsi"/>
          <w:sz w:val="24"/>
          <w:szCs w:val="24"/>
        </w:rPr>
        <w:t xml:space="preserve">Posten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møteinntekter</w:t>
      </w:r>
      <w:r w:rsidR="000231E3" w:rsidRPr="00A374FC">
        <w:rPr>
          <w:rFonts w:asciiTheme="minorHAnsi" w:hAnsiTheme="minorHAnsi"/>
          <w:sz w:val="24"/>
          <w:szCs w:val="24"/>
        </w:rPr>
        <w:t xml:space="preserve"> gjelder våre </w:t>
      </w:r>
      <w:proofErr w:type="gramStart"/>
      <w:r w:rsidR="000231E3" w:rsidRPr="00A374FC">
        <w:rPr>
          <w:rFonts w:asciiTheme="minorHAnsi" w:hAnsiTheme="minorHAnsi"/>
          <w:sz w:val="24"/>
          <w:szCs w:val="24"/>
        </w:rPr>
        <w:t>to ”stormøter</w:t>
      </w:r>
      <w:proofErr w:type="gramEnd"/>
      <w:r w:rsidR="000231E3" w:rsidRPr="00A374FC">
        <w:rPr>
          <w:rFonts w:asciiTheme="minorHAnsi" w:hAnsiTheme="minorHAnsi"/>
          <w:sz w:val="24"/>
          <w:szCs w:val="24"/>
        </w:rPr>
        <w:t>”; vårmøtet og høstmøtet, samt kompetansekursene.</w:t>
      </w:r>
      <w:r w:rsidR="001D1E12" w:rsidRPr="00A374FC">
        <w:rPr>
          <w:rFonts w:asciiTheme="minorHAnsi" w:hAnsiTheme="minorHAnsi"/>
          <w:sz w:val="24"/>
          <w:szCs w:val="24"/>
        </w:rPr>
        <w:t xml:space="preserve"> </w:t>
      </w:r>
      <w:r w:rsidR="001C4D63">
        <w:rPr>
          <w:rFonts w:asciiTheme="minorHAnsi" w:hAnsiTheme="minorHAnsi"/>
          <w:sz w:val="24"/>
          <w:szCs w:val="24"/>
        </w:rPr>
        <w:t xml:space="preserve">Inntektene fra vårmøtet er litt lavere enn budsjettert, selv om vi mangler en mindre refusjon fra MBL. </w:t>
      </w:r>
      <w:r w:rsidR="001D1E12" w:rsidRPr="00A374FC">
        <w:rPr>
          <w:rFonts w:asciiTheme="minorHAnsi" w:hAnsiTheme="minorHAnsi"/>
          <w:sz w:val="24"/>
          <w:szCs w:val="24"/>
        </w:rPr>
        <w:t>Posten «</w:t>
      </w:r>
      <w:r w:rsidR="00C94A83">
        <w:rPr>
          <w:rFonts w:asciiTheme="minorHAnsi" w:hAnsiTheme="minorHAnsi"/>
          <w:sz w:val="24"/>
          <w:szCs w:val="24"/>
        </w:rPr>
        <w:t>a</w:t>
      </w:r>
      <w:r w:rsidR="001D1E12" w:rsidRPr="00A374FC">
        <w:rPr>
          <w:rFonts w:asciiTheme="minorHAnsi" w:hAnsiTheme="minorHAnsi"/>
          <w:sz w:val="24"/>
          <w:szCs w:val="24"/>
        </w:rPr>
        <w:t>ndre inntekter» gjelder blant annet</w:t>
      </w:r>
      <w:r w:rsidR="001953F4">
        <w:rPr>
          <w:rFonts w:asciiTheme="minorHAnsi" w:hAnsiTheme="minorHAnsi"/>
          <w:sz w:val="24"/>
          <w:szCs w:val="24"/>
        </w:rPr>
        <w:t xml:space="preserve"> vederlag for arbeid knyttet til faglig støtte til </w:t>
      </w:r>
      <w:proofErr w:type="spellStart"/>
      <w:r w:rsidR="001953F4">
        <w:rPr>
          <w:rFonts w:asciiTheme="minorHAnsi" w:hAnsiTheme="minorHAnsi"/>
          <w:sz w:val="24"/>
          <w:szCs w:val="24"/>
        </w:rPr>
        <w:t>Egyptian</w:t>
      </w:r>
      <w:proofErr w:type="spellEnd"/>
      <w:r w:rsidR="001953F4">
        <w:rPr>
          <w:rFonts w:asciiTheme="minorHAnsi" w:hAnsiTheme="minorHAnsi"/>
          <w:sz w:val="24"/>
          <w:szCs w:val="24"/>
        </w:rPr>
        <w:t xml:space="preserve"> Editors Association,</w:t>
      </w:r>
      <w:r w:rsidR="001D1E12" w:rsidRPr="00A374FC">
        <w:rPr>
          <w:rFonts w:asciiTheme="minorHAnsi" w:hAnsiTheme="minorHAnsi"/>
          <w:sz w:val="24"/>
          <w:szCs w:val="24"/>
        </w:rPr>
        <w:t xml:space="preserve"> salg av bøker og skatteprogramvaren «</w:t>
      </w:r>
      <w:proofErr w:type="spellStart"/>
      <w:r w:rsidR="001D1E12" w:rsidRPr="00A374FC">
        <w:rPr>
          <w:rFonts w:asciiTheme="minorHAnsi" w:hAnsiTheme="minorHAnsi"/>
          <w:sz w:val="24"/>
          <w:szCs w:val="24"/>
        </w:rPr>
        <w:t>Taxy</w:t>
      </w:r>
      <w:proofErr w:type="spellEnd"/>
      <w:r w:rsidR="001D1E12" w:rsidRPr="00A374FC">
        <w:rPr>
          <w:rFonts w:asciiTheme="minorHAnsi" w:hAnsiTheme="minorHAnsi"/>
          <w:sz w:val="24"/>
          <w:szCs w:val="24"/>
        </w:rPr>
        <w:t>». Inntektene fra sistnevnte kommer først sent i høst.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:rsidR="001D1E12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>er</w:t>
      </w:r>
      <w:proofErr w:type="gramEnd"/>
      <w:r w:rsidR="00D237E1" w:rsidRPr="00A374FC">
        <w:rPr>
          <w:rFonts w:asciiTheme="minorHAnsi" w:hAnsiTheme="minorHAnsi"/>
          <w:sz w:val="24"/>
          <w:szCs w:val="24"/>
        </w:rPr>
        <w:t xml:space="preserve"> det</w:t>
      </w:r>
      <w:r w:rsidR="00040F92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ingen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C41E8F" w:rsidRPr="00A374FC">
        <w:rPr>
          <w:rFonts w:asciiTheme="minorHAnsi" w:hAnsiTheme="minorHAnsi"/>
          <w:sz w:val="24"/>
          <w:szCs w:val="24"/>
        </w:rPr>
        <w:t xml:space="preserve"> knyttet til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ser det ut som vi har en betydelig overskridelse, men det skyldes at vi betaler ut alt i en runde, mens budsjettet er periodisert</w:t>
      </w:r>
      <w:r w:rsidR="002A4253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 xml:space="preserve">Det samme gjelder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utgiftene til vårmøtet</w:t>
      </w:r>
      <w:r w:rsidR="001953F4">
        <w:rPr>
          <w:rFonts w:asciiTheme="minorHAnsi" w:hAnsiTheme="minorHAnsi"/>
          <w:sz w:val="24"/>
          <w:szCs w:val="24"/>
        </w:rPr>
        <w:t xml:space="preserve">. For øvrig er prosjektkostnadene under god kontroll. Den eneste posten hvor per i dag ligger an til overskridelse er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«Prosjekter og utredninger»</w:t>
      </w:r>
      <w:r w:rsidR="001953F4">
        <w:rPr>
          <w:rFonts w:asciiTheme="minorHAnsi" w:hAnsiTheme="minorHAnsi"/>
          <w:sz w:val="24"/>
          <w:szCs w:val="24"/>
        </w:rPr>
        <w:t xml:space="preserve">. Det avhenger imidlertid litt av hva vi </w:t>
      </w:r>
      <w:r w:rsidR="000E679D">
        <w:rPr>
          <w:rFonts w:asciiTheme="minorHAnsi" w:hAnsiTheme="minorHAnsi"/>
          <w:sz w:val="24"/>
          <w:szCs w:val="24"/>
        </w:rPr>
        <w:t>velger å engasjere oss i mot årsskiftet</w:t>
      </w:r>
      <w:r w:rsidR="001953F4">
        <w:rPr>
          <w:rFonts w:asciiTheme="minorHAnsi" w:hAnsiTheme="minorHAnsi"/>
          <w:sz w:val="24"/>
          <w:szCs w:val="24"/>
        </w:rPr>
        <w:t>.</w:t>
      </w:r>
    </w:p>
    <w:p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:rsidR="000231E3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som ved regnskapsrapporten lå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rundt 120</w:t>
      </w:r>
      <w:r w:rsidRPr="00A374FC">
        <w:rPr>
          <w:rFonts w:asciiTheme="minorHAnsi" w:hAnsiTheme="minorHAnsi"/>
          <w:sz w:val="24"/>
          <w:szCs w:val="24"/>
        </w:rPr>
        <w:t xml:space="preserve">.000 kroner </w:t>
      </w:r>
      <w:r w:rsidR="002A4253">
        <w:rPr>
          <w:rFonts w:asciiTheme="minorHAnsi" w:hAnsiTheme="minorHAnsi"/>
          <w:sz w:val="24"/>
          <w:szCs w:val="24"/>
        </w:rPr>
        <w:t>høyere enn budsjettert</w:t>
      </w:r>
      <w:r w:rsidR="001953F4">
        <w:rPr>
          <w:rFonts w:asciiTheme="minorHAnsi" w:hAnsiTheme="minorHAnsi"/>
          <w:sz w:val="24"/>
          <w:szCs w:val="24"/>
        </w:rPr>
        <w:t>, er nå i tråd med budsjettet</w:t>
      </w:r>
      <w:r w:rsidR="002A4253">
        <w:rPr>
          <w:rFonts w:asciiTheme="minorHAnsi" w:hAnsiTheme="minorHAnsi"/>
          <w:sz w:val="24"/>
          <w:szCs w:val="24"/>
        </w:rPr>
        <w:t>.</w:t>
      </w:r>
      <w:r w:rsidR="00064999">
        <w:rPr>
          <w:rFonts w:asciiTheme="minorHAnsi" w:hAnsiTheme="minorHAnsi"/>
          <w:sz w:val="24"/>
          <w:szCs w:val="24"/>
        </w:rPr>
        <w:t xml:space="preserve"> </w:t>
      </w:r>
    </w:p>
    <w:p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:rsidR="000231E3" w:rsidRPr="001953F4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noen</w:t>
      </w:r>
      <w:r w:rsidR="00C76B46">
        <w:rPr>
          <w:rFonts w:asciiTheme="minorHAnsi" w:hAnsiTheme="minorHAnsi"/>
          <w:sz w:val="24"/>
          <w:szCs w:val="24"/>
        </w:rPr>
        <w:t xml:space="preserve"> mindre</w:t>
      </w:r>
      <w:r w:rsidR="00042E7D" w:rsidRPr="00A374FC">
        <w:rPr>
          <w:rFonts w:asciiTheme="minorHAnsi" w:hAnsiTheme="minorHAnsi"/>
          <w:sz w:val="24"/>
          <w:szCs w:val="24"/>
        </w:rPr>
        <w:t xml:space="preserve"> avvik. </w:t>
      </w:r>
      <w:proofErr w:type="spellStart"/>
      <w:r w:rsidR="001953F4">
        <w:rPr>
          <w:rFonts w:asciiTheme="minorHAnsi" w:hAnsiTheme="minorHAnsi"/>
          <w:sz w:val="24"/>
          <w:szCs w:val="24"/>
          <w:u w:val="single"/>
        </w:rPr>
        <w:t>Avskrivningver</w:t>
      </w:r>
      <w:proofErr w:type="spellEnd"/>
      <w:r w:rsidR="001953F4">
        <w:rPr>
          <w:rFonts w:asciiTheme="minorHAnsi" w:hAnsiTheme="minorHAnsi"/>
          <w:sz w:val="24"/>
          <w:szCs w:val="24"/>
        </w:rPr>
        <w:t xml:space="preserve"> ligger noe over budsjett. Det skyldes primært at vi måtte </w:t>
      </w:r>
      <w:proofErr w:type="gramStart"/>
      <w:r w:rsidR="001953F4">
        <w:rPr>
          <w:rFonts w:asciiTheme="minorHAnsi" w:hAnsiTheme="minorHAnsi"/>
          <w:sz w:val="24"/>
          <w:szCs w:val="24"/>
        </w:rPr>
        <w:t>bytte  general</w:t>
      </w:r>
      <w:proofErr w:type="gramEnd"/>
      <w:r w:rsidR="001953F4">
        <w:rPr>
          <w:rFonts w:asciiTheme="minorHAnsi" w:hAnsiTheme="minorHAnsi"/>
          <w:sz w:val="24"/>
          <w:szCs w:val="24"/>
        </w:rPr>
        <w:t xml:space="preserve">-sekretærens «maskinpark», som ikke ville samarbeide særlig godt lenger. Det er også mindre avvik på enkelte andre poster, men i sum ligger driftskostnadene rundt </w:t>
      </w:r>
      <w:r w:rsidR="00242C60">
        <w:rPr>
          <w:rFonts w:asciiTheme="minorHAnsi" w:hAnsiTheme="minorHAnsi"/>
          <w:sz w:val="24"/>
          <w:szCs w:val="24"/>
        </w:rPr>
        <w:t>70.000 kroner under budsjett.</w:t>
      </w:r>
    </w:p>
    <w:p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r w:rsidR="000B6F26" w:rsidRPr="00A374FC">
        <w:rPr>
          <w:rFonts w:asciiTheme="minorHAnsi" w:hAnsiTheme="minorHAnsi"/>
          <w:sz w:val="24"/>
          <w:szCs w:val="24"/>
        </w:rPr>
        <w:t xml:space="preserve">i følge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242C60">
        <w:rPr>
          <w:rFonts w:asciiTheme="minorHAnsi" w:hAnsiTheme="minorHAnsi"/>
          <w:sz w:val="24"/>
          <w:szCs w:val="24"/>
        </w:rPr>
        <w:t>under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6A07C3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A374FC">
        <w:rPr>
          <w:rFonts w:asciiTheme="minorHAnsi" w:hAnsiTheme="minorHAnsi"/>
          <w:sz w:val="24"/>
          <w:szCs w:val="24"/>
        </w:rPr>
        <w:t xml:space="preserve"> per</w:t>
      </w:r>
      <w:r w:rsidR="006A07C3">
        <w:rPr>
          <w:rFonts w:asciiTheme="minorHAnsi" w:hAnsiTheme="minorHAnsi"/>
          <w:sz w:val="24"/>
          <w:szCs w:val="24"/>
        </w:rPr>
        <w:t xml:space="preserve"> </w:t>
      </w:r>
      <w:r w:rsidR="00242C60">
        <w:rPr>
          <w:rFonts w:asciiTheme="minorHAnsi" w:hAnsiTheme="minorHAnsi"/>
          <w:sz w:val="24"/>
          <w:szCs w:val="24"/>
        </w:rPr>
        <w:t>31. august</w:t>
      </w:r>
      <w:r w:rsidR="00507ADE" w:rsidRPr="00A374FC">
        <w:rPr>
          <w:rFonts w:asciiTheme="minorHAnsi" w:hAnsiTheme="minorHAnsi"/>
          <w:sz w:val="24"/>
          <w:szCs w:val="24"/>
        </w:rPr>
        <w:t xml:space="preserve"> på </w:t>
      </w:r>
      <w:r w:rsidR="000B6F26" w:rsidRPr="00A374FC">
        <w:rPr>
          <w:rFonts w:asciiTheme="minorHAnsi" w:hAnsiTheme="minorHAnsi"/>
          <w:sz w:val="24"/>
          <w:szCs w:val="24"/>
        </w:rPr>
        <w:t xml:space="preserve">kr </w:t>
      </w:r>
      <w:r w:rsidR="00242C60">
        <w:rPr>
          <w:rFonts w:asciiTheme="minorHAnsi" w:hAnsiTheme="minorHAnsi"/>
          <w:sz w:val="24"/>
          <w:szCs w:val="24"/>
        </w:rPr>
        <w:t>256.893,-</w:t>
      </w:r>
      <w:r w:rsidR="006A07C3">
        <w:rPr>
          <w:rFonts w:asciiTheme="minorHAnsi" w:hAnsiTheme="minorHAnsi"/>
          <w:sz w:val="24"/>
          <w:szCs w:val="24"/>
        </w:rPr>
        <w:t>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242C60">
        <w:rPr>
          <w:rFonts w:asciiTheme="minorHAnsi" w:hAnsiTheme="minorHAnsi"/>
          <w:sz w:val="24"/>
          <w:szCs w:val="24"/>
        </w:rPr>
        <w:t>over</w:t>
      </w:r>
      <w:r w:rsidR="006A07C3">
        <w:rPr>
          <w:rFonts w:asciiTheme="minorHAnsi" w:hAnsiTheme="minorHAnsi"/>
          <w:sz w:val="24"/>
          <w:szCs w:val="24"/>
        </w:rPr>
        <w:t>s</w:t>
      </w:r>
      <w:r w:rsidRPr="00A374FC">
        <w:rPr>
          <w:rFonts w:asciiTheme="minorHAnsi" w:hAnsiTheme="minorHAnsi"/>
          <w:sz w:val="24"/>
          <w:szCs w:val="24"/>
        </w:rPr>
        <w:t xml:space="preserve">kudd på </w:t>
      </w:r>
      <w:r w:rsidR="006A07C3">
        <w:rPr>
          <w:rFonts w:asciiTheme="minorHAnsi" w:hAnsiTheme="minorHAnsi"/>
          <w:sz w:val="24"/>
          <w:szCs w:val="24"/>
        </w:rPr>
        <w:t xml:space="preserve">kr </w:t>
      </w:r>
      <w:r w:rsidR="00242C60">
        <w:rPr>
          <w:rFonts w:asciiTheme="minorHAnsi" w:hAnsiTheme="minorHAnsi"/>
          <w:sz w:val="24"/>
          <w:szCs w:val="24"/>
        </w:rPr>
        <w:t xml:space="preserve">67.677,-.  Sett i lys av de forskyvninger </w:t>
      </w:r>
      <w:r w:rsidR="00242C60">
        <w:rPr>
          <w:rFonts w:asciiTheme="minorHAnsi" w:hAnsiTheme="minorHAnsi"/>
          <w:sz w:val="24"/>
          <w:szCs w:val="24"/>
        </w:rPr>
        <w:lastRenderedPageBreak/>
        <w:t>i særlig inntektene</w:t>
      </w:r>
      <w:r w:rsidR="000E679D">
        <w:rPr>
          <w:rFonts w:asciiTheme="minorHAnsi" w:hAnsiTheme="minorHAnsi"/>
          <w:sz w:val="24"/>
          <w:szCs w:val="24"/>
        </w:rPr>
        <w:t xml:space="preserve"> og regionkontingentene</w:t>
      </w:r>
      <w:r w:rsidR="00242C60">
        <w:rPr>
          <w:rFonts w:asciiTheme="minorHAnsi" w:hAnsiTheme="minorHAnsi"/>
          <w:sz w:val="24"/>
          <w:szCs w:val="24"/>
        </w:rPr>
        <w:t xml:space="preserve"> som vi har forklart ovenfor, har sekretariatet</w:t>
      </w:r>
      <w:r w:rsidR="000E679D">
        <w:rPr>
          <w:rFonts w:asciiTheme="minorHAnsi" w:hAnsiTheme="minorHAnsi"/>
          <w:sz w:val="24"/>
          <w:szCs w:val="24"/>
        </w:rPr>
        <w:t xml:space="preserve"> likevel</w:t>
      </w:r>
      <w:r w:rsidR="00242C60">
        <w:rPr>
          <w:rFonts w:asciiTheme="minorHAnsi" w:hAnsiTheme="minorHAnsi"/>
          <w:sz w:val="24"/>
          <w:szCs w:val="24"/>
        </w:rPr>
        <w:t xml:space="preserve"> god tro på å nå budsjettmålet på kr 100.000,- i overskudd.</w:t>
      </w: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242C60">
        <w:rPr>
          <w:rFonts w:asciiTheme="minorHAnsi" w:hAnsiTheme="minorHAnsi"/>
          <w:sz w:val="24"/>
          <w:szCs w:val="24"/>
        </w:rPr>
        <w:t>31. august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3C5500" w:rsidRDefault="001C3607">
      <w:pPr>
        <w:rPr>
          <w:rFonts w:asciiTheme="minorHAnsi" w:hAnsiTheme="minorHAnsi"/>
          <w:i/>
        </w:rPr>
      </w:pPr>
      <w:r w:rsidRPr="00891903">
        <w:rPr>
          <w:rFonts w:asciiTheme="minorHAnsi" w:hAnsiTheme="minorHAnsi"/>
          <w:i/>
          <w:u w:val="single"/>
        </w:rPr>
        <w:t>Vedlegg</w:t>
      </w:r>
      <w:r w:rsidRPr="00891903">
        <w:rPr>
          <w:rFonts w:asciiTheme="minorHAnsi" w:hAnsiTheme="minorHAnsi"/>
          <w:i/>
        </w:rPr>
        <w:t xml:space="preserve">: Regnskapsoppstilling og balanse </w:t>
      </w: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A01348" w:rsidRDefault="00A01348">
      <w:pPr>
        <w:rPr>
          <w:rFonts w:asciiTheme="minorHAnsi" w:hAnsiTheme="minorHAnsi"/>
          <w:i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87" w:type="dxa"/>
        <w:tblInd w:w="-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46"/>
        <w:gridCol w:w="460"/>
        <w:gridCol w:w="1105"/>
        <w:gridCol w:w="399"/>
        <w:gridCol w:w="1642"/>
        <w:gridCol w:w="1771"/>
        <w:gridCol w:w="194"/>
      </w:tblGrid>
      <w:tr w:rsidR="00891903" w:rsidRPr="006A07C3" w:rsidTr="00891903">
        <w:trPr>
          <w:gridAfter w:val="1"/>
          <w:wAfter w:w="333" w:type="dxa"/>
          <w:trHeight w:val="420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7D7" w:rsidRPr="000447D7" w:rsidRDefault="00891903" w:rsidP="006A07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0447D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  <w:tbl>
            <w:tblPr>
              <w:tblW w:w="93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75"/>
              <w:gridCol w:w="817"/>
              <w:gridCol w:w="1093"/>
              <w:gridCol w:w="1093"/>
              <w:gridCol w:w="1093"/>
              <w:gridCol w:w="1093"/>
              <w:gridCol w:w="1093"/>
            </w:tblGrid>
            <w:tr w:rsidR="000447D7" w:rsidRPr="000447D7" w:rsidTr="00A01348">
              <w:trPr>
                <w:trHeight w:val="375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D31F43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nb-NO"/>
                    </w:rPr>
                  </w:pPr>
                  <w:r w:rsidRPr="00D31F4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nb-NO"/>
                    </w:rPr>
                    <w:t>Norsk Redaktørforening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</w:tr>
            <w:tr w:rsidR="000447D7" w:rsidRPr="000447D7" w:rsidTr="00A01348">
              <w:trPr>
                <w:trHeight w:val="315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D31F43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lang w:eastAsia="nb-NO"/>
                    </w:rPr>
                  </w:pPr>
                  <w:r w:rsidRPr="00D31F43">
                    <w:rPr>
                      <w:rFonts w:asciiTheme="minorHAnsi" w:eastAsia="Times New Roman" w:hAnsiTheme="minorHAnsi" w:cstheme="minorHAnsi"/>
                      <w:color w:val="000000"/>
                      <w:lang w:eastAsia="nb-NO"/>
                    </w:rPr>
                    <w:t>fredag 31. august 2018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</w:tr>
            <w:tr w:rsidR="000447D7" w:rsidRPr="000447D7" w:rsidTr="00A01348">
              <w:trPr>
                <w:trHeight w:val="375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D31F43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nb-NO"/>
                    </w:rPr>
                  </w:pPr>
                  <w:r w:rsidRPr="00D31F4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nb-NO"/>
                    </w:rPr>
                    <w:t>Resultat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</w:tr>
            <w:tr w:rsidR="000447D7" w:rsidRPr="000447D7" w:rsidTr="00A01348">
              <w:trPr>
                <w:trHeight w:val="300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</w:tr>
            <w:tr w:rsidR="000447D7" w:rsidRPr="000447D7" w:rsidTr="00A01348">
              <w:trPr>
                <w:trHeight w:val="300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Noter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Virkelig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Budsjett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Avvik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Busdjett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Fjorår</w:t>
                  </w:r>
                </w:p>
              </w:tc>
            </w:tr>
            <w:tr w:rsidR="000447D7" w:rsidRPr="000447D7" w:rsidTr="00A01348">
              <w:trPr>
                <w:trHeight w:val="315"/>
              </w:trPr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INNTEKTER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31.08.2018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31.08.2018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31.08.2018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2018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31.12.2017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Kontingenter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5 191 650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5 093 333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98 317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7 640 000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7 452 650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Adm</w:t>
                  </w:r>
                  <w:proofErr w:type="spellEnd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vederlag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7 505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-92 495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303 313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Refusjon OR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133 997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153 333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-19 336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230 000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230 000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Prosjektmidler / PFF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773 333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-333 333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1 160 000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1 278 005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Møteinntekter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604 885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800 000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-195 115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1 200 000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811 286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Andre inntekter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73 085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56 418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89 850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Gevinst </w:t>
                  </w:r>
                  <w:proofErr w:type="spellStart"/>
                  <w:proofErr w:type="gramStart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avg.transport</w:t>
                  </w:r>
                  <w:proofErr w:type="spellEnd"/>
                  <w:proofErr w:type="gramEnd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maskiner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SUM INNTEKTER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6 451 122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6 936 667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-485 545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10 405 000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10 165 104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Kontingent NP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1 080 000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1 080 000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1 620 000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1 620 000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Regionkontingenter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1 017 600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690 000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327 600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1 035 000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1 017 600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Pensjonistkontingenter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33 333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-33 333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57 600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NJ felleskasser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-46 667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70 000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84 615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Tilltak</w:t>
                  </w:r>
                  <w:proofErr w:type="spellEnd"/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i handlingsplanen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50 206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133 333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-83 127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186 806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Viderefakturerte 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Kostnader vårmøte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646 478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433 333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213 145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330 403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Kostnader høstmøte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12 750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-287 250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306 114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Kostnader andre møter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204 360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-95 640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347 920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Honorar u/trekk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16 406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Diverse 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19 805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Pressekort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4 875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-5 125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11 351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Prosjekter og utredninger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95 632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28 965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54 359 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Sum prosjektkostnader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3 111 901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3 106 667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     5 234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4 660 000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4 052 979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Lønnskostnader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1 943 604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2 088 667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-145 062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3 133 000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3 012 652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Andre lønnskostnader / pensjon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667 223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625 333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41 889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938 000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957 982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Andre personalkostnader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38 798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42 333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-3 536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63 500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54 020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Refunderte administrasjonskostnader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-145 328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-140 000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-5 328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-210 000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-195 326 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Sum personalkostnader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2 504 297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2 616 333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-112 036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3 924 500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3 829 328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Avskrivninger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82 366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76 667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5 699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115 000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127 863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Kostnader lokaler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470 742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482 000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-11 258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723 000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666 934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Inventar / vedlikehold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200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-13 133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11 551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Fremmede tjenester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188 717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163 333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25 384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245 000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260 661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Kontorkostnader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65 085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143 333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-78 248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215 000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241 305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Aviser og faglitteratur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43 505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3 505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49 696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Telekostnader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43 480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42 667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813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64 000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53 970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Porto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11 412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4 745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9 279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Reisekostnader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109 919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100 000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9 919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150 000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134 892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Deltakeravgift / konferanser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30 195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-9 805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61 874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Gaver og kontingenter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36 226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9 559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40 000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52 634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Forsikring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7 220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Bankkostnader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9 610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2 943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8 801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Tap og lignende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   -  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-16 667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25 000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13 602 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Sum driftskostnader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1 091 456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1 158 000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 -66 544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1 737 000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1 700 282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SUM 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6 707 654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6 881 000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-173 346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10 321 500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9 582 589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Resultat før finans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-256 532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  55 667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-312 199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  83 500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582 515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Renteinntekter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-13 333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20 000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14 904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Finanskostnader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  360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1 333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 -973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2 000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 xml:space="preserve">                1 544 </w:t>
                  </w:r>
                </w:p>
              </w:tc>
            </w:tr>
            <w:tr w:rsidR="000447D7" w:rsidRPr="000447D7" w:rsidTr="00010B42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</w:tr>
            <w:tr w:rsidR="000447D7" w:rsidRPr="000447D7" w:rsidTr="00A01348">
              <w:trPr>
                <w:trHeight w:hRule="exact" w:val="227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RESULTAT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-256 893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  67 667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-324 559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101 500 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  <w:r w:rsidRPr="000447D7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  <w:t xml:space="preserve">           595 875 </w:t>
                  </w:r>
                </w:p>
              </w:tc>
            </w:tr>
            <w:tr w:rsidR="000447D7" w:rsidRPr="000447D7" w:rsidTr="00A01348">
              <w:trPr>
                <w:trHeight w:val="300"/>
              </w:trPr>
              <w:tc>
                <w:tcPr>
                  <w:tcW w:w="3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Default="000447D7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</w:p>
                <w:p w:rsidR="00A01348" w:rsidRDefault="00A01348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</w:p>
                <w:p w:rsidR="00A01348" w:rsidRPr="000447D7" w:rsidRDefault="00A01348" w:rsidP="000447D7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7D7" w:rsidRPr="000447D7" w:rsidRDefault="000447D7" w:rsidP="000447D7">
                  <w:pPr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nb-NO"/>
                    </w:rPr>
                  </w:pPr>
                </w:p>
              </w:tc>
            </w:tr>
          </w:tbl>
          <w:p w:rsidR="00891903" w:rsidRPr="000447D7" w:rsidRDefault="00891903" w:rsidP="006A07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</w:tr>
      <w:tr w:rsidR="00891903" w:rsidRPr="006A07C3" w:rsidTr="00891903">
        <w:trPr>
          <w:gridAfter w:val="1"/>
          <w:wAfter w:w="333" w:type="dxa"/>
          <w:trHeight w:val="420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6A07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Balanse 2015- 2018</w:t>
            </w:r>
          </w:p>
        </w:tc>
      </w:tr>
      <w:tr w:rsidR="00891903" w:rsidRPr="006A07C3" w:rsidTr="00891903">
        <w:trPr>
          <w:trHeight w:val="390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3576C8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31.08.2018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2015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  <w:bookmarkStart w:id="0" w:name="_GoBack"/>
            <w:bookmarkEnd w:id="0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010B42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12 500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96 483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41 785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39 221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215 992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172 039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108 983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270 277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223 760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333 262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157 738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114 351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4 626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23 615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143 497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31 998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28 012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6 750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6 750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40 740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50 733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6 247 282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4 480 664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3 168 657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633 690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603 973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603 974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1 432 951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459 572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1 470 170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8 790 682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5 786 061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5 466 262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8 899 665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5 690 022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5 905 405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4 938 511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4 870 017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D31F43" w:rsidRDefault="00D31F43" w:rsidP="00D31F43">
            <w:pPr>
              <w:pStyle w:val="Listeavsnitt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-256 893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371 019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68 494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5 648 512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4 938 511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91 794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90 850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100 622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67 647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48 600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1 039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60 639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-1 079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40 703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200 456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151 053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156 031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110 052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131 331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127 676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219 615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326 053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325 438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2 500 950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3 251 153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746 808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751 509 </w:t>
            </w:r>
          </w:p>
        </w:tc>
      </w:tr>
      <w:tr w:rsidR="00891903" w:rsidRPr="006A07C3" w:rsidTr="00010B42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1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D31F4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8 899 665</w:t>
            </w:r>
            <w:r w:rsidR="00891903"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5 690 020 </w:t>
            </w:r>
          </w:p>
        </w:tc>
      </w:tr>
    </w:tbl>
    <w:p w:rsidR="00010B42" w:rsidRDefault="00010B4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580"/>
        <w:gridCol w:w="2060"/>
        <w:gridCol w:w="2060"/>
        <w:gridCol w:w="2060"/>
      </w:tblGrid>
      <w:tr w:rsidR="00010B42" w:rsidRPr="00010B42" w:rsidTr="00010B42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2" w:rsidRPr="00010B42" w:rsidRDefault="00010B42" w:rsidP="00010B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2" w:rsidRPr="00010B42" w:rsidRDefault="00010B42" w:rsidP="00010B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2" w:rsidRPr="00010B42" w:rsidRDefault="00010B42" w:rsidP="00010B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2" w:rsidRPr="00010B42" w:rsidRDefault="00010B42" w:rsidP="00010B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2" w:rsidRPr="00010B42" w:rsidRDefault="00010B42" w:rsidP="00010B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:rsidR="00010B42" w:rsidRPr="006A07C3" w:rsidRDefault="00010B42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231E3"/>
    <w:rsid w:val="00024E32"/>
    <w:rsid w:val="00040DC5"/>
    <w:rsid w:val="00040F92"/>
    <w:rsid w:val="00042E7D"/>
    <w:rsid w:val="000447D7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4324C"/>
    <w:rsid w:val="001436FA"/>
    <w:rsid w:val="001711F6"/>
    <w:rsid w:val="001953F4"/>
    <w:rsid w:val="001979E8"/>
    <w:rsid w:val="001A1A8F"/>
    <w:rsid w:val="001C3607"/>
    <w:rsid w:val="001C4D63"/>
    <w:rsid w:val="001C7C14"/>
    <w:rsid w:val="001D080E"/>
    <w:rsid w:val="001D1E12"/>
    <w:rsid w:val="002343CB"/>
    <w:rsid w:val="00242C60"/>
    <w:rsid w:val="00257E70"/>
    <w:rsid w:val="002A4253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576C8"/>
    <w:rsid w:val="00373792"/>
    <w:rsid w:val="00395B10"/>
    <w:rsid w:val="003C5500"/>
    <w:rsid w:val="003F5815"/>
    <w:rsid w:val="00403553"/>
    <w:rsid w:val="004048D4"/>
    <w:rsid w:val="00405754"/>
    <w:rsid w:val="00407FD3"/>
    <w:rsid w:val="00416DCB"/>
    <w:rsid w:val="00417490"/>
    <w:rsid w:val="00443C58"/>
    <w:rsid w:val="004744B2"/>
    <w:rsid w:val="00474D79"/>
    <w:rsid w:val="004A235E"/>
    <w:rsid w:val="004B560A"/>
    <w:rsid w:val="004D07EB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D3261"/>
    <w:rsid w:val="005D3D48"/>
    <w:rsid w:val="005D449E"/>
    <w:rsid w:val="005D4E74"/>
    <w:rsid w:val="005E438C"/>
    <w:rsid w:val="00634934"/>
    <w:rsid w:val="00654D37"/>
    <w:rsid w:val="0066147F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E5792"/>
    <w:rsid w:val="007E70E8"/>
    <w:rsid w:val="007F5B95"/>
    <w:rsid w:val="00806BB7"/>
    <w:rsid w:val="00844B4A"/>
    <w:rsid w:val="00883EDC"/>
    <w:rsid w:val="00887460"/>
    <w:rsid w:val="00891903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01348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D50A1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C1B90"/>
    <w:rsid w:val="00BE3754"/>
    <w:rsid w:val="00BE52D3"/>
    <w:rsid w:val="00BF139E"/>
    <w:rsid w:val="00BF7B13"/>
    <w:rsid w:val="00C10B73"/>
    <w:rsid w:val="00C241C8"/>
    <w:rsid w:val="00C41E8F"/>
    <w:rsid w:val="00C750E9"/>
    <w:rsid w:val="00C76B46"/>
    <w:rsid w:val="00C94621"/>
    <w:rsid w:val="00C94A83"/>
    <w:rsid w:val="00CB0C26"/>
    <w:rsid w:val="00CB3758"/>
    <w:rsid w:val="00CB3BCA"/>
    <w:rsid w:val="00CD6B99"/>
    <w:rsid w:val="00D05925"/>
    <w:rsid w:val="00D237E1"/>
    <w:rsid w:val="00D24D54"/>
    <w:rsid w:val="00D25DCF"/>
    <w:rsid w:val="00D27F23"/>
    <w:rsid w:val="00D30A9B"/>
    <w:rsid w:val="00D31F43"/>
    <w:rsid w:val="00D36056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264E"/>
    <w:rsid w:val="00DD4F40"/>
    <w:rsid w:val="00DE1918"/>
    <w:rsid w:val="00E10D30"/>
    <w:rsid w:val="00E135BC"/>
    <w:rsid w:val="00E34490"/>
    <w:rsid w:val="00E3496C"/>
    <w:rsid w:val="00E745DF"/>
    <w:rsid w:val="00E97204"/>
    <w:rsid w:val="00EB488C"/>
    <w:rsid w:val="00EC3586"/>
    <w:rsid w:val="00ED2A02"/>
    <w:rsid w:val="00EE5B25"/>
    <w:rsid w:val="00EE61E1"/>
    <w:rsid w:val="00F03A28"/>
    <w:rsid w:val="00F03DF2"/>
    <w:rsid w:val="00F27C66"/>
    <w:rsid w:val="00F36A81"/>
    <w:rsid w:val="00F46530"/>
    <w:rsid w:val="00F96E2F"/>
    <w:rsid w:val="00FA057F"/>
    <w:rsid w:val="00FA5A76"/>
    <w:rsid w:val="00FA5DEF"/>
    <w:rsid w:val="00FC0292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83C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1995</Words>
  <Characters>10575</Characters>
  <Application>Microsoft Office Word</Application>
  <DocSecurity>0</DocSecurity>
  <Lines>88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3</cp:revision>
  <cp:lastPrinted>2017-06-09T10:43:00Z</cp:lastPrinted>
  <dcterms:created xsi:type="dcterms:W3CDTF">2018-09-12T19:02:00Z</dcterms:created>
  <dcterms:modified xsi:type="dcterms:W3CDTF">2018-09-12T19:52:00Z</dcterms:modified>
</cp:coreProperties>
</file>