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9E5" w14:textId="77777777" w:rsidR="006E2795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Norsk Redaktørforening</w:t>
      </w:r>
    </w:p>
    <w:p w14:paraId="76075A61" w14:textId="2D708CA7" w:rsidR="006E2795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Styremøte 201</w:t>
      </w:r>
      <w:r w:rsidR="0040114C">
        <w:rPr>
          <w:rFonts w:ascii="Times New Roman" w:hAnsi="Times New Roman"/>
          <w:sz w:val="24"/>
          <w:szCs w:val="24"/>
        </w:rPr>
        <w:t>8</w:t>
      </w:r>
      <w:r w:rsidRPr="006E2795">
        <w:rPr>
          <w:rFonts w:ascii="Times New Roman" w:hAnsi="Times New Roman"/>
          <w:sz w:val="24"/>
          <w:szCs w:val="24"/>
        </w:rPr>
        <w:t>-0</w:t>
      </w:r>
      <w:r w:rsidR="0040114C">
        <w:rPr>
          <w:rFonts w:ascii="Times New Roman" w:hAnsi="Times New Roman"/>
          <w:sz w:val="24"/>
          <w:szCs w:val="24"/>
        </w:rPr>
        <w:t>5</w:t>
      </w:r>
      <w:r w:rsidRPr="006E2795">
        <w:rPr>
          <w:rFonts w:ascii="Times New Roman" w:hAnsi="Times New Roman"/>
          <w:sz w:val="24"/>
          <w:szCs w:val="24"/>
        </w:rPr>
        <w:t>-</w:t>
      </w:r>
      <w:r w:rsidR="0040114C">
        <w:rPr>
          <w:rFonts w:ascii="Times New Roman" w:hAnsi="Times New Roman"/>
          <w:sz w:val="24"/>
          <w:szCs w:val="24"/>
        </w:rPr>
        <w:t>01</w:t>
      </w:r>
    </w:p>
    <w:p w14:paraId="1323312E" w14:textId="77777777" w:rsidR="001979E8" w:rsidRPr="006E2795" w:rsidRDefault="006E2795" w:rsidP="006E2795">
      <w:pPr>
        <w:rPr>
          <w:rFonts w:ascii="Times New Roman" w:hAnsi="Times New Roman"/>
          <w:sz w:val="24"/>
          <w:szCs w:val="24"/>
        </w:rPr>
      </w:pPr>
      <w:r w:rsidRPr="006E2795">
        <w:rPr>
          <w:rFonts w:ascii="Times New Roman" w:hAnsi="Times New Roman"/>
          <w:sz w:val="24"/>
          <w:szCs w:val="24"/>
        </w:rPr>
        <w:t>AJ</w:t>
      </w:r>
    </w:p>
    <w:p w14:paraId="48226197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6A06BA51" w14:textId="77777777" w:rsidR="0066147F" w:rsidRDefault="0066147F">
      <w:pPr>
        <w:rPr>
          <w:rFonts w:ascii="Times New Roman" w:hAnsi="Times New Roman"/>
          <w:sz w:val="24"/>
          <w:szCs w:val="24"/>
        </w:rPr>
      </w:pPr>
    </w:p>
    <w:p w14:paraId="1F2694D0" w14:textId="77777777" w:rsidR="001979E8" w:rsidRDefault="001979E8">
      <w:pPr>
        <w:rPr>
          <w:rFonts w:ascii="Times New Roman" w:hAnsi="Times New Roman"/>
          <w:sz w:val="24"/>
          <w:szCs w:val="24"/>
        </w:rPr>
      </w:pPr>
    </w:p>
    <w:p w14:paraId="2627ABCF" w14:textId="282D615B" w:rsidR="001979E8" w:rsidRPr="00E22382" w:rsidRDefault="00004621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Sak 201</w:t>
      </w:r>
      <w:r w:rsidR="0040114C">
        <w:rPr>
          <w:rFonts w:ascii="Arial" w:hAnsi="Arial" w:cs="Arial"/>
          <w:b/>
          <w:i/>
          <w:sz w:val="28"/>
          <w:szCs w:val="28"/>
        </w:rPr>
        <w:t>8</w:t>
      </w:r>
      <w:r w:rsidR="001979E8" w:rsidRPr="001979E8">
        <w:rPr>
          <w:rFonts w:ascii="Arial" w:hAnsi="Arial" w:cs="Arial"/>
          <w:b/>
          <w:i/>
          <w:sz w:val="28"/>
          <w:szCs w:val="28"/>
        </w:rPr>
        <w:t>-</w:t>
      </w:r>
      <w:r w:rsidR="0040114C">
        <w:rPr>
          <w:rFonts w:ascii="Arial" w:hAnsi="Arial" w:cs="Arial"/>
          <w:b/>
          <w:i/>
          <w:sz w:val="28"/>
          <w:szCs w:val="28"/>
        </w:rPr>
        <w:t>21</w:t>
      </w:r>
      <w:r w:rsidR="001979E8" w:rsidRPr="001979E8">
        <w:rPr>
          <w:rFonts w:ascii="Arial" w:hAnsi="Arial" w:cs="Arial"/>
          <w:b/>
          <w:i/>
          <w:sz w:val="28"/>
          <w:szCs w:val="28"/>
        </w:rPr>
        <w:t xml:space="preserve">: </w:t>
      </w:r>
      <w:r w:rsidR="00F03A28">
        <w:rPr>
          <w:rFonts w:ascii="Arial" w:hAnsi="Arial" w:cs="Arial"/>
          <w:b/>
          <w:i/>
          <w:sz w:val="28"/>
          <w:szCs w:val="28"/>
        </w:rPr>
        <w:t>Å</w:t>
      </w:r>
      <w:r w:rsidR="0040114C">
        <w:rPr>
          <w:rFonts w:ascii="Arial" w:hAnsi="Arial" w:cs="Arial"/>
          <w:b/>
          <w:i/>
          <w:sz w:val="28"/>
          <w:szCs w:val="28"/>
        </w:rPr>
        <w:t>rs</w:t>
      </w:r>
      <w:r w:rsidR="00F03A28">
        <w:rPr>
          <w:rFonts w:ascii="Arial" w:hAnsi="Arial" w:cs="Arial"/>
          <w:b/>
          <w:i/>
          <w:sz w:val="28"/>
          <w:szCs w:val="28"/>
        </w:rPr>
        <w:t xml:space="preserve">regnskap </w:t>
      </w:r>
      <w:r w:rsidR="0040114C">
        <w:rPr>
          <w:rFonts w:ascii="Arial" w:hAnsi="Arial" w:cs="Arial"/>
          <w:b/>
          <w:i/>
          <w:sz w:val="28"/>
          <w:szCs w:val="28"/>
        </w:rPr>
        <w:t>2017</w:t>
      </w:r>
    </w:p>
    <w:p w14:paraId="5AF6D92C" w14:textId="77777777" w:rsidR="0058391E" w:rsidRDefault="0058391E">
      <w:pPr>
        <w:rPr>
          <w:rFonts w:ascii="Times New Roman" w:hAnsi="Times New Roman"/>
          <w:sz w:val="24"/>
          <w:szCs w:val="24"/>
        </w:rPr>
      </w:pPr>
    </w:p>
    <w:p w14:paraId="4AF656EF" w14:textId="594FD7F3" w:rsidR="00F03A28" w:rsidRDefault="00F03A28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Vedlagt følger årsregnskap</w:t>
      </w:r>
      <w:r w:rsidR="00004621">
        <w:rPr>
          <w:rFonts w:ascii="Times New Roman" w:hAnsi="Times New Roman"/>
          <w:sz w:val="24"/>
          <w:szCs w:val="24"/>
        </w:rPr>
        <w:t>et for NR for regnskapsåret 201</w:t>
      </w:r>
      <w:r w:rsidR="0040114C">
        <w:rPr>
          <w:rFonts w:ascii="Times New Roman" w:hAnsi="Times New Roman"/>
          <w:sz w:val="24"/>
          <w:szCs w:val="24"/>
        </w:rPr>
        <w:t>7</w:t>
      </w:r>
      <w:r w:rsidR="00004621">
        <w:rPr>
          <w:rFonts w:ascii="Times New Roman" w:hAnsi="Times New Roman"/>
          <w:sz w:val="24"/>
          <w:szCs w:val="24"/>
        </w:rPr>
        <w:t>, som sammen med årsregnskapet for 20</w:t>
      </w:r>
      <w:r w:rsidR="00512AF2">
        <w:rPr>
          <w:rFonts w:ascii="Times New Roman" w:hAnsi="Times New Roman"/>
          <w:sz w:val="24"/>
          <w:szCs w:val="24"/>
        </w:rPr>
        <w:t>1</w:t>
      </w:r>
      <w:r w:rsidR="0040114C">
        <w:rPr>
          <w:rFonts w:ascii="Times New Roman" w:hAnsi="Times New Roman"/>
          <w:sz w:val="24"/>
          <w:szCs w:val="24"/>
        </w:rPr>
        <w:t>8</w:t>
      </w:r>
      <w:r w:rsidR="00004621">
        <w:rPr>
          <w:rFonts w:ascii="Times New Roman" w:hAnsi="Times New Roman"/>
          <w:sz w:val="24"/>
          <w:szCs w:val="24"/>
        </w:rPr>
        <w:t xml:space="preserve"> skal legges fram for landsmøtet</w:t>
      </w:r>
      <w:r w:rsidR="0040114C">
        <w:rPr>
          <w:rFonts w:ascii="Times New Roman" w:hAnsi="Times New Roman"/>
          <w:sz w:val="24"/>
          <w:szCs w:val="24"/>
        </w:rPr>
        <w:t xml:space="preserve"> i 2019</w:t>
      </w:r>
      <w:r w:rsidR="006E2795">
        <w:rPr>
          <w:rFonts w:ascii="Times New Roman" w:hAnsi="Times New Roman"/>
          <w:sz w:val="24"/>
          <w:szCs w:val="24"/>
        </w:rPr>
        <w:t xml:space="preserve">. </w:t>
      </w:r>
    </w:p>
    <w:p w14:paraId="6771E284" w14:textId="77777777" w:rsidR="00F03A28" w:rsidRDefault="00F03A28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70BDE0A" w14:textId="5530D684" w:rsidR="00004621" w:rsidRDefault="00403553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 xml:space="preserve">Regnskapet </w:t>
      </w:r>
      <w:r w:rsidR="00004621" w:rsidRPr="004E33E8">
        <w:rPr>
          <w:rFonts w:ascii="Times New Roman" w:hAnsi="Times New Roman"/>
          <w:sz w:val="24"/>
          <w:szCs w:val="24"/>
        </w:rPr>
        <w:t>for 20</w:t>
      </w:r>
      <w:r w:rsidR="00D24D54" w:rsidRPr="004E33E8">
        <w:rPr>
          <w:rFonts w:ascii="Times New Roman" w:hAnsi="Times New Roman"/>
          <w:sz w:val="24"/>
          <w:szCs w:val="24"/>
        </w:rPr>
        <w:t>1</w:t>
      </w:r>
      <w:r w:rsidR="005B184C">
        <w:rPr>
          <w:rFonts w:ascii="Times New Roman" w:hAnsi="Times New Roman"/>
          <w:sz w:val="24"/>
          <w:szCs w:val="24"/>
        </w:rPr>
        <w:t>7</w:t>
      </w:r>
      <w:r w:rsidR="00004621" w:rsidRPr="004E33E8">
        <w:rPr>
          <w:rFonts w:ascii="Times New Roman" w:hAnsi="Times New Roman"/>
          <w:sz w:val="24"/>
          <w:szCs w:val="24"/>
        </w:rPr>
        <w:t xml:space="preserve"> viser et resultat etter finanskostnader på </w:t>
      </w:r>
      <w:r w:rsidR="005B184C">
        <w:rPr>
          <w:rFonts w:ascii="Times New Roman" w:hAnsi="Times New Roman"/>
          <w:sz w:val="24"/>
          <w:szCs w:val="24"/>
        </w:rPr>
        <w:t>595.875</w:t>
      </w:r>
      <w:r w:rsidR="00004621" w:rsidRPr="004E33E8">
        <w:rPr>
          <w:rFonts w:ascii="Times New Roman" w:hAnsi="Times New Roman"/>
          <w:sz w:val="24"/>
          <w:szCs w:val="24"/>
        </w:rPr>
        <w:t xml:space="preserve"> kroner. Dette er</w:t>
      </w:r>
      <w:r w:rsidR="00D24D54" w:rsidRPr="004E33E8">
        <w:rPr>
          <w:rFonts w:ascii="Times New Roman" w:hAnsi="Times New Roman"/>
          <w:sz w:val="24"/>
          <w:szCs w:val="24"/>
        </w:rPr>
        <w:t xml:space="preserve"> </w:t>
      </w:r>
      <w:r w:rsidR="005B184C">
        <w:rPr>
          <w:rFonts w:ascii="Times New Roman" w:hAnsi="Times New Roman"/>
          <w:sz w:val="24"/>
          <w:szCs w:val="24"/>
        </w:rPr>
        <w:t>drøyt</w:t>
      </w:r>
      <w:r w:rsidR="00857679" w:rsidRPr="004E33E8">
        <w:rPr>
          <w:rFonts w:ascii="Times New Roman" w:hAnsi="Times New Roman"/>
          <w:sz w:val="24"/>
          <w:szCs w:val="24"/>
        </w:rPr>
        <w:t xml:space="preserve"> </w:t>
      </w:r>
      <w:r w:rsidR="00373E7E">
        <w:rPr>
          <w:rFonts w:ascii="Times New Roman" w:hAnsi="Times New Roman"/>
          <w:sz w:val="24"/>
          <w:szCs w:val="24"/>
        </w:rPr>
        <w:t>5</w:t>
      </w:r>
      <w:r w:rsidR="005B184C">
        <w:rPr>
          <w:rFonts w:ascii="Times New Roman" w:hAnsi="Times New Roman"/>
          <w:sz w:val="24"/>
          <w:szCs w:val="24"/>
        </w:rPr>
        <w:t>00</w:t>
      </w:r>
      <w:r w:rsidR="00572FB4">
        <w:rPr>
          <w:rFonts w:ascii="Times New Roman" w:hAnsi="Times New Roman"/>
          <w:sz w:val="24"/>
          <w:szCs w:val="24"/>
        </w:rPr>
        <w:t>.000</w:t>
      </w:r>
      <w:r w:rsidR="00857679" w:rsidRPr="004E33E8">
        <w:rPr>
          <w:rFonts w:ascii="Times New Roman" w:hAnsi="Times New Roman"/>
          <w:sz w:val="24"/>
          <w:szCs w:val="24"/>
        </w:rPr>
        <w:t xml:space="preserve"> kroner </w:t>
      </w:r>
      <w:r w:rsidR="000300A7">
        <w:rPr>
          <w:rFonts w:ascii="Times New Roman" w:hAnsi="Times New Roman"/>
          <w:sz w:val="24"/>
          <w:szCs w:val="24"/>
        </w:rPr>
        <w:t>bedre</w:t>
      </w:r>
      <w:r w:rsidR="00857679" w:rsidRPr="004E33E8">
        <w:rPr>
          <w:rFonts w:ascii="Times New Roman" w:hAnsi="Times New Roman"/>
          <w:sz w:val="24"/>
          <w:szCs w:val="24"/>
        </w:rPr>
        <w:t xml:space="preserve"> enn budsjettert,</w:t>
      </w:r>
      <w:r w:rsidR="006E2795" w:rsidRPr="004E33E8">
        <w:rPr>
          <w:rFonts w:ascii="Times New Roman" w:hAnsi="Times New Roman"/>
          <w:sz w:val="24"/>
          <w:szCs w:val="24"/>
        </w:rPr>
        <w:t xml:space="preserve"> </w:t>
      </w:r>
      <w:r w:rsidR="00F93D83">
        <w:rPr>
          <w:rFonts w:ascii="Times New Roman" w:hAnsi="Times New Roman"/>
          <w:sz w:val="24"/>
          <w:szCs w:val="24"/>
        </w:rPr>
        <w:t xml:space="preserve">og rundt </w:t>
      </w:r>
      <w:r w:rsidR="005B184C">
        <w:rPr>
          <w:rFonts w:ascii="Times New Roman" w:hAnsi="Times New Roman"/>
          <w:sz w:val="24"/>
          <w:szCs w:val="24"/>
        </w:rPr>
        <w:t>40</w:t>
      </w:r>
      <w:r w:rsidR="00004621" w:rsidRPr="004E33E8">
        <w:rPr>
          <w:rFonts w:ascii="Times New Roman" w:hAnsi="Times New Roman"/>
          <w:sz w:val="24"/>
          <w:szCs w:val="24"/>
        </w:rPr>
        <w:t xml:space="preserve">.000 kroner </w:t>
      </w:r>
      <w:r w:rsidR="00572FB4">
        <w:rPr>
          <w:rFonts w:ascii="Times New Roman" w:hAnsi="Times New Roman"/>
          <w:sz w:val="24"/>
          <w:szCs w:val="24"/>
        </w:rPr>
        <w:t>bedre</w:t>
      </w:r>
      <w:r w:rsidR="006E2795" w:rsidRPr="004E33E8">
        <w:rPr>
          <w:rFonts w:ascii="Times New Roman" w:hAnsi="Times New Roman"/>
          <w:sz w:val="24"/>
          <w:szCs w:val="24"/>
        </w:rPr>
        <w:t xml:space="preserve"> enn den prognosen sekretariatet la frem i styrets møte </w:t>
      </w:r>
      <w:r w:rsidR="005B184C">
        <w:rPr>
          <w:rFonts w:ascii="Times New Roman" w:hAnsi="Times New Roman"/>
          <w:sz w:val="24"/>
          <w:szCs w:val="24"/>
        </w:rPr>
        <w:t>5</w:t>
      </w:r>
      <w:r w:rsidR="006E2795" w:rsidRPr="004E33E8">
        <w:rPr>
          <w:rFonts w:ascii="Times New Roman" w:hAnsi="Times New Roman"/>
          <w:sz w:val="24"/>
          <w:szCs w:val="24"/>
        </w:rPr>
        <w:t xml:space="preserve">. desember. </w:t>
      </w:r>
      <w:r w:rsidR="00566FE4" w:rsidRPr="004E33E8">
        <w:rPr>
          <w:rFonts w:ascii="Times New Roman" w:hAnsi="Times New Roman"/>
          <w:sz w:val="24"/>
          <w:szCs w:val="24"/>
        </w:rPr>
        <w:t>I vedlagte tabellrapport sammenlignes 201</w:t>
      </w:r>
      <w:r w:rsidR="005B184C">
        <w:rPr>
          <w:rFonts w:ascii="Times New Roman" w:hAnsi="Times New Roman"/>
          <w:sz w:val="24"/>
          <w:szCs w:val="24"/>
        </w:rPr>
        <w:t>7</w:t>
      </w:r>
      <w:r w:rsidR="00566FE4" w:rsidRPr="004E33E8">
        <w:rPr>
          <w:rFonts w:ascii="Times New Roman" w:hAnsi="Times New Roman"/>
          <w:sz w:val="24"/>
          <w:szCs w:val="24"/>
        </w:rPr>
        <w:t xml:space="preserve">-tallene både med </w:t>
      </w:r>
      <w:r w:rsidR="006E2795" w:rsidRPr="004E33E8">
        <w:rPr>
          <w:rFonts w:ascii="Times New Roman" w:hAnsi="Times New Roman"/>
          <w:sz w:val="24"/>
          <w:szCs w:val="24"/>
        </w:rPr>
        <w:t>budsjettet</w:t>
      </w:r>
      <w:r w:rsidR="00566FE4" w:rsidRPr="004E33E8">
        <w:rPr>
          <w:rFonts w:ascii="Times New Roman" w:hAnsi="Times New Roman"/>
          <w:sz w:val="24"/>
          <w:szCs w:val="24"/>
        </w:rPr>
        <w:t xml:space="preserve"> og 20</w:t>
      </w:r>
      <w:r w:rsidR="006E2795" w:rsidRPr="004E33E8">
        <w:rPr>
          <w:rFonts w:ascii="Times New Roman" w:hAnsi="Times New Roman"/>
          <w:sz w:val="24"/>
          <w:szCs w:val="24"/>
        </w:rPr>
        <w:t>1</w:t>
      </w:r>
      <w:r w:rsidR="005B184C">
        <w:rPr>
          <w:rFonts w:ascii="Times New Roman" w:hAnsi="Times New Roman"/>
          <w:sz w:val="24"/>
          <w:szCs w:val="24"/>
        </w:rPr>
        <w:t>6</w:t>
      </w:r>
      <w:r w:rsidR="00566FE4" w:rsidRPr="004E33E8">
        <w:rPr>
          <w:rFonts w:ascii="Times New Roman" w:hAnsi="Times New Roman"/>
          <w:sz w:val="24"/>
          <w:szCs w:val="24"/>
        </w:rPr>
        <w:t>-tallene.</w:t>
      </w:r>
      <w:r w:rsidR="00A01092">
        <w:rPr>
          <w:rFonts w:ascii="Times New Roman" w:hAnsi="Times New Roman"/>
          <w:sz w:val="24"/>
          <w:szCs w:val="24"/>
        </w:rPr>
        <w:t xml:space="preserve"> Budsjettavviket skyldes</w:t>
      </w:r>
      <w:r w:rsidR="00373E7E">
        <w:rPr>
          <w:rFonts w:ascii="Times New Roman" w:hAnsi="Times New Roman"/>
          <w:sz w:val="24"/>
          <w:szCs w:val="24"/>
        </w:rPr>
        <w:t xml:space="preserve"> blant annet</w:t>
      </w:r>
      <w:r w:rsidR="00A01092">
        <w:rPr>
          <w:rFonts w:ascii="Times New Roman" w:hAnsi="Times New Roman"/>
          <w:sz w:val="24"/>
          <w:szCs w:val="24"/>
        </w:rPr>
        <w:t xml:space="preserve"> at vi </w:t>
      </w:r>
      <w:r w:rsidR="005B184C">
        <w:rPr>
          <w:rFonts w:ascii="Times New Roman" w:hAnsi="Times New Roman"/>
          <w:sz w:val="24"/>
          <w:szCs w:val="24"/>
        </w:rPr>
        <w:t>budsjetterte noe raust hva gjelder personalkostnadene, at inntektene samlet ble noe høyere enn forventet, og at vi hadde et mindre underforbruk på prosjektkostnadene</w:t>
      </w:r>
      <w:r w:rsidR="00A01092">
        <w:rPr>
          <w:rFonts w:ascii="Times New Roman" w:hAnsi="Times New Roman"/>
          <w:sz w:val="24"/>
          <w:szCs w:val="24"/>
        </w:rPr>
        <w:t>.</w:t>
      </w:r>
      <w:r w:rsidR="00373E7E">
        <w:rPr>
          <w:rFonts w:ascii="Times New Roman" w:hAnsi="Times New Roman"/>
          <w:sz w:val="24"/>
          <w:szCs w:val="24"/>
        </w:rPr>
        <w:t xml:space="preserve"> </w:t>
      </w:r>
    </w:p>
    <w:p w14:paraId="3D51D151" w14:textId="77777777" w:rsidR="00403553" w:rsidRDefault="00403553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D7E64C" w14:textId="77777777" w:rsidR="00403553" w:rsidRPr="00D916C3" w:rsidRDefault="004E3F5A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916C3">
        <w:rPr>
          <w:rFonts w:ascii="Times New Roman" w:hAnsi="Times New Roman"/>
          <w:b/>
          <w:sz w:val="24"/>
          <w:szCs w:val="24"/>
        </w:rPr>
        <w:t>Inntekter</w:t>
      </w:r>
    </w:p>
    <w:p w14:paraId="23AAAB3B" w14:textId="011C5EA0" w:rsidR="002532C2" w:rsidRDefault="00BF139E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</w:t>
      </w:r>
      <w:r w:rsidR="00A47719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</w:t>
      </w:r>
      <w:r w:rsidR="00A47719">
        <w:rPr>
          <w:rFonts w:ascii="Times New Roman" w:hAnsi="Times New Roman"/>
          <w:sz w:val="24"/>
          <w:szCs w:val="24"/>
        </w:rPr>
        <w:t xml:space="preserve">(NR-kontingent </w:t>
      </w:r>
      <w:r w:rsidR="003F6323">
        <w:rPr>
          <w:rFonts w:ascii="Times New Roman" w:hAnsi="Times New Roman"/>
          <w:sz w:val="24"/>
          <w:szCs w:val="24"/>
        </w:rPr>
        <w:t>inkl.</w:t>
      </w:r>
      <w:r w:rsidR="00A47719">
        <w:rPr>
          <w:rFonts w:ascii="Times New Roman" w:hAnsi="Times New Roman"/>
          <w:sz w:val="24"/>
          <w:szCs w:val="24"/>
        </w:rPr>
        <w:t xml:space="preserve"> pensjonskontingent) </w:t>
      </w:r>
      <w:r>
        <w:rPr>
          <w:rFonts w:ascii="Times New Roman" w:hAnsi="Times New Roman"/>
          <w:sz w:val="24"/>
          <w:szCs w:val="24"/>
        </w:rPr>
        <w:t>i 20</w:t>
      </w:r>
      <w:r w:rsidR="00566FE4">
        <w:rPr>
          <w:rFonts w:ascii="Times New Roman" w:hAnsi="Times New Roman"/>
          <w:sz w:val="24"/>
          <w:szCs w:val="24"/>
        </w:rPr>
        <w:t>1</w:t>
      </w:r>
      <w:r w:rsidR="005B184C">
        <w:rPr>
          <w:rFonts w:ascii="Times New Roman" w:hAnsi="Times New Roman"/>
          <w:sz w:val="24"/>
          <w:szCs w:val="24"/>
        </w:rPr>
        <w:t>7</w:t>
      </w:r>
      <w:r w:rsidR="00566FE4">
        <w:rPr>
          <w:rFonts w:ascii="Times New Roman" w:hAnsi="Times New Roman"/>
          <w:sz w:val="24"/>
          <w:szCs w:val="24"/>
        </w:rPr>
        <w:t xml:space="preserve"> innbrakte </w:t>
      </w:r>
      <w:r w:rsidR="006E2795">
        <w:rPr>
          <w:rFonts w:ascii="Times New Roman" w:hAnsi="Times New Roman"/>
          <w:sz w:val="24"/>
          <w:szCs w:val="24"/>
        </w:rPr>
        <w:t>7.</w:t>
      </w:r>
      <w:r w:rsidR="0031195A">
        <w:rPr>
          <w:rFonts w:ascii="Times New Roman" w:hAnsi="Times New Roman"/>
          <w:sz w:val="24"/>
          <w:szCs w:val="24"/>
        </w:rPr>
        <w:t>45</w:t>
      </w:r>
      <w:r w:rsidR="005B184C">
        <w:rPr>
          <w:rFonts w:ascii="Times New Roman" w:hAnsi="Times New Roman"/>
          <w:sz w:val="24"/>
          <w:szCs w:val="24"/>
        </w:rPr>
        <w:t>2</w:t>
      </w:r>
      <w:r w:rsidR="003F6323">
        <w:rPr>
          <w:rFonts w:ascii="Times New Roman" w:hAnsi="Times New Roman"/>
          <w:sz w:val="24"/>
          <w:szCs w:val="24"/>
        </w:rPr>
        <w:t>.</w:t>
      </w:r>
      <w:r w:rsidR="005B184C">
        <w:rPr>
          <w:rFonts w:ascii="Times New Roman" w:hAnsi="Times New Roman"/>
          <w:sz w:val="24"/>
          <w:szCs w:val="24"/>
        </w:rPr>
        <w:t>650</w:t>
      </w:r>
      <w:r w:rsidR="006E2795">
        <w:rPr>
          <w:rFonts w:ascii="Times New Roman" w:hAnsi="Times New Roman"/>
          <w:sz w:val="24"/>
          <w:szCs w:val="24"/>
        </w:rPr>
        <w:t xml:space="preserve"> kroner</w:t>
      </w:r>
      <w:r w:rsidR="00566FE4">
        <w:rPr>
          <w:rFonts w:ascii="Times New Roman" w:hAnsi="Times New Roman"/>
          <w:sz w:val="24"/>
          <w:szCs w:val="24"/>
        </w:rPr>
        <w:t xml:space="preserve">. Det tilsvarer </w:t>
      </w:r>
      <w:r w:rsidR="005B184C">
        <w:rPr>
          <w:rFonts w:ascii="Times New Roman" w:hAnsi="Times New Roman"/>
          <w:sz w:val="24"/>
          <w:szCs w:val="24"/>
        </w:rPr>
        <w:t>690</w:t>
      </w:r>
      <w:r w:rsidR="00566FE4">
        <w:rPr>
          <w:rFonts w:ascii="Times New Roman" w:hAnsi="Times New Roman"/>
          <w:sz w:val="24"/>
          <w:szCs w:val="24"/>
        </w:rPr>
        <w:t xml:space="preserve"> årskonting</w:t>
      </w:r>
      <w:r w:rsidR="009014A6">
        <w:rPr>
          <w:rFonts w:ascii="Times New Roman" w:hAnsi="Times New Roman"/>
          <w:sz w:val="24"/>
          <w:szCs w:val="24"/>
        </w:rPr>
        <w:t>enter á</w:t>
      </w:r>
      <w:r w:rsidR="00566FE4">
        <w:rPr>
          <w:rFonts w:ascii="Times New Roman" w:hAnsi="Times New Roman"/>
          <w:sz w:val="24"/>
          <w:szCs w:val="24"/>
        </w:rPr>
        <w:t xml:space="preserve"> </w:t>
      </w:r>
      <w:r w:rsidR="009014A6">
        <w:rPr>
          <w:rFonts w:ascii="Times New Roman" w:hAnsi="Times New Roman"/>
          <w:sz w:val="24"/>
          <w:szCs w:val="24"/>
        </w:rPr>
        <w:t>10.</w:t>
      </w:r>
      <w:r w:rsidR="005B184C">
        <w:rPr>
          <w:rFonts w:ascii="Times New Roman" w:hAnsi="Times New Roman"/>
          <w:sz w:val="24"/>
          <w:szCs w:val="24"/>
        </w:rPr>
        <w:t>8</w:t>
      </w:r>
      <w:r w:rsidR="009014A6">
        <w:rPr>
          <w:rFonts w:ascii="Times New Roman" w:hAnsi="Times New Roman"/>
          <w:sz w:val="24"/>
          <w:szCs w:val="24"/>
        </w:rPr>
        <w:t>00</w:t>
      </w:r>
      <w:r w:rsidR="00566FE4">
        <w:rPr>
          <w:rFonts w:ascii="Times New Roman" w:hAnsi="Times New Roman"/>
          <w:sz w:val="24"/>
          <w:szCs w:val="24"/>
        </w:rPr>
        <w:t xml:space="preserve"> kroner</w:t>
      </w:r>
      <w:r w:rsidR="009014A6">
        <w:rPr>
          <w:rFonts w:ascii="Times New Roman" w:hAnsi="Times New Roman"/>
          <w:sz w:val="24"/>
          <w:szCs w:val="24"/>
        </w:rPr>
        <w:t xml:space="preserve">, mot budsjettets forutsetning om </w:t>
      </w:r>
      <w:r w:rsidR="005B184C">
        <w:rPr>
          <w:rFonts w:ascii="Times New Roman" w:hAnsi="Times New Roman"/>
          <w:sz w:val="24"/>
          <w:szCs w:val="24"/>
        </w:rPr>
        <w:t>703</w:t>
      </w:r>
      <w:r w:rsidR="009014A6">
        <w:rPr>
          <w:rFonts w:ascii="Times New Roman" w:hAnsi="Times New Roman"/>
          <w:sz w:val="24"/>
          <w:szCs w:val="24"/>
        </w:rPr>
        <w:t xml:space="preserve"> årskontingenter</w:t>
      </w:r>
      <w:r w:rsidR="00566FE4">
        <w:rPr>
          <w:rFonts w:ascii="Times New Roman" w:hAnsi="Times New Roman"/>
          <w:sz w:val="24"/>
          <w:szCs w:val="24"/>
        </w:rPr>
        <w:t>. Til</w:t>
      </w:r>
      <w:r w:rsidR="009014A6">
        <w:rPr>
          <w:rFonts w:ascii="Times New Roman" w:hAnsi="Times New Roman"/>
          <w:sz w:val="24"/>
          <w:szCs w:val="24"/>
        </w:rPr>
        <w:t xml:space="preserve"> sammenligning tilsvarte kontingentinntektene i 201</w:t>
      </w:r>
      <w:r w:rsidR="005B184C">
        <w:rPr>
          <w:rFonts w:ascii="Times New Roman" w:hAnsi="Times New Roman"/>
          <w:sz w:val="24"/>
          <w:szCs w:val="24"/>
        </w:rPr>
        <w:t>6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31195A">
        <w:rPr>
          <w:rFonts w:ascii="Times New Roman" w:hAnsi="Times New Roman"/>
          <w:sz w:val="24"/>
          <w:szCs w:val="24"/>
        </w:rPr>
        <w:t>70</w:t>
      </w:r>
      <w:r w:rsidR="005B184C">
        <w:rPr>
          <w:rFonts w:ascii="Times New Roman" w:hAnsi="Times New Roman"/>
          <w:sz w:val="24"/>
          <w:szCs w:val="24"/>
        </w:rPr>
        <w:t>3</w:t>
      </w:r>
      <w:r w:rsidR="00373E7E">
        <w:rPr>
          <w:rFonts w:ascii="Times New Roman" w:hAnsi="Times New Roman"/>
          <w:sz w:val="24"/>
          <w:szCs w:val="24"/>
        </w:rPr>
        <w:t xml:space="preserve"> </w:t>
      </w:r>
      <w:r w:rsidR="009014A6">
        <w:rPr>
          <w:rFonts w:ascii="Times New Roman" w:hAnsi="Times New Roman"/>
          <w:sz w:val="24"/>
          <w:szCs w:val="24"/>
        </w:rPr>
        <w:t>årskontingenter</w:t>
      </w:r>
      <w:r w:rsidR="00566FE4">
        <w:rPr>
          <w:rFonts w:ascii="Times New Roman" w:hAnsi="Times New Roman"/>
          <w:sz w:val="24"/>
          <w:szCs w:val="24"/>
        </w:rPr>
        <w:t xml:space="preserve">. </w:t>
      </w:r>
    </w:p>
    <w:p w14:paraId="6577C40F" w14:textId="77777777" w:rsidR="009014A6" w:rsidRDefault="009014A6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EA9542F" w14:textId="77777777" w:rsidR="00C94AA1" w:rsidRDefault="00DD4F40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Kontingentinntektene har i de siste årene tilsvart årskontingenter slik:</w:t>
      </w:r>
    </w:p>
    <w:p w14:paraId="58F38D98" w14:textId="113081F6" w:rsidR="005B184C" w:rsidRDefault="0031195A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B184C">
        <w:rPr>
          <w:rFonts w:ascii="Times New Roman" w:hAnsi="Times New Roman"/>
          <w:sz w:val="24"/>
          <w:szCs w:val="24"/>
        </w:rPr>
        <w:t>2017: 690</w:t>
      </w:r>
    </w:p>
    <w:p w14:paraId="010F55A9" w14:textId="152578D2" w:rsidR="0031195A" w:rsidRDefault="005B184C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195A">
        <w:rPr>
          <w:rFonts w:ascii="Times New Roman" w:hAnsi="Times New Roman"/>
          <w:sz w:val="24"/>
          <w:szCs w:val="24"/>
        </w:rPr>
        <w:t>2016: 703</w:t>
      </w:r>
    </w:p>
    <w:p w14:paraId="4455EBEB" w14:textId="77777777" w:rsidR="0031195A" w:rsidRDefault="00C94AA1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195A">
        <w:rPr>
          <w:rFonts w:ascii="Times New Roman" w:hAnsi="Times New Roman"/>
          <w:sz w:val="24"/>
          <w:szCs w:val="24"/>
        </w:rPr>
        <w:t>2015: 704</w:t>
      </w:r>
    </w:p>
    <w:p w14:paraId="2F4860B4" w14:textId="77777777" w:rsidR="00C94AA1" w:rsidRDefault="0031195A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94AA1">
        <w:rPr>
          <w:rFonts w:ascii="Times New Roman" w:hAnsi="Times New Roman"/>
          <w:sz w:val="24"/>
          <w:szCs w:val="24"/>
        </w:rPr>
        <w:t>2014: 733</w:t>
      </w:r>
    </w:p>
    <w:p w14:paraId="06B29F87" w14:textId="77777777" w:rsidR="009014A6" w:rsidRDefault="009014A6" w:rsidP="00450D3E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2013: 765</w:t>
      </w:r>
    </w:p>
    <w:p w14:paraId="0D9EB21F" w14:textId="77777777" w:rsidR="008A50E3" w:rsidRDefault="008A50E3" w:rsidP="00450D3E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2012: 761</w:t>
      </w:r>
    </w:p>
    <w:p w14:paraId="1C240BF5" w14:textId="77777777" w:rsidR="008A50E3" w:rsidRDefault="008A50E3" w:rsidP="00450D3E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2011: 736</w:t>
      </w:r>
    </w:p>
    <w:p w14:paraId="2DEB6E6D" w14:textId="77777777" w:rsidR="00DD4F40" w:rsidRDefault="00DD4F40" w:rsidP="00450D3E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8A50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 722</w:t>
      </w:r>
    </w:p>
    <w:p w14:paraId="3BF81CD2" w14:textId="77777777" w:rsidR="00DD4F40" w:rsidRDefault="00DD4F40" w:rsidP="00450D3E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2009: 773</w:t>
      </w:r>
    </w:p>
    <w:p w14:paraId="38767A3C" w14:textId="77777777" w:rsidR="008A50E3" w:rsidRDefault="008A50E3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43C1063" w14:textId="2269BAB5" w:rsidR="007E70E8" w:rsidRDefault="00A01092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014A6">
        <w:rPr>
          <w:rFonts w:ascii="Times New Roman" w:hAnsi="Times New Roman"/>
          <w:sz w:val="24"/>
          <w:szCs w:val="24"/>
        </w:rPr>
        <w:t>dministrasjonsvederlaget fra Kopinor og Norwaco</w:t>
      </w:r>
      <w:r>
        <w:rPr>
          <w:rFonts w:ascii="Times New Roman" w:hAnsi="Times New Roman"/>
          <w:sz w:val="24"/>
          <w:szCs w:val="24"/>
        </w:rPr>
        <w:t xml:space="preserve"> endte </w:t>
      </w:r>
      <w:r w:rsidR="005B184C">
        <w:rPr>
          <w:rFonts w:ascii="Times New Roman" w:hAnsi="Times New Roman"/>
          <w:sz w:val="24"/>
          <w:szCs w:val="24"/>
        </w:rPr>
        <w:t>betydelig høyere</w:t>
      </w:r>
      <w:r>
        <w:rPr>
          <w:rFonts w:ascii="Times New Roman" w:hAnsi="Times New Roman"/>
          <w:sz w:val="24"/>
          <w:szCs w:val="24"/>
        </w:rPr>
        <w:t xml:space="preserve"> enn forventet</w:t>
      </w:r>
      <w:r w:rsidR="00920458">
        <w:rPr>
          <w:rFonts w:ascii="Times New Roman" w:hAnsi="Times New Roman"/>
          <w:sz w:val="24"/>
          <w:szCs w:val="24"/>
        </w:rPr>
        <w:t xml:space="preserve">, hovedsakelig fordi tre </w:t>
      </w:r>
      <w:r w:rsidR="005653AB">
        <w:rPr>
          <w:rFonts w:ascii="Times New Roman" w:hAnsi="Times New Roman"/>
          <w:sz w:val="24"/>
          <w:szCs w:val="24"/>
        </w:rPr>
        <w:t xml:space="preserve">overføringer av administrasjonsgebyr som skulle vært gjort i 2016, først ble foretatt i januar 2017. </w:t>
      </w:r>
      <w:r w:rsidR="009014A6">
        <w:rPr>
          <w:rFonts w:ascii="Times New Roman" w:hAnsi="Times New Roman"/>
          <w:sz w:val="24"/>
          <w:szCs w:val="24"/>
        </w:rPr>
        <w:t xml:space="preserve">Møteinntektene, som omfatter vår- og høstmøtene, samt NR Kompetanse, er </w:t>
      </w:r>
      <w:r w:rsidR="00920458">
        <w:rPr>
          <w:rFonts w:ascii="Times New Roman" w:hAnsi="Times New Roman"/>
          <w:sz w:val="24"/>
          <w:szCs w:val="24"/>
        </w:rPr>
        <w:t>litt lavere</w:t>
      </w:r>
      <w:r>
        <w:rPr>
          <w:rFonts w:ascii="Times New Roman" w:hAnsi="Times New Roman"/>
          <w:sz w:val="24"/>
          <w:szCs w:val="24"/>
        </w:rPr>
        <w:t xml:space="preserve"> enn</w:t>
      </w:r>
      <w:r w:rsidR="009014A6">
        <w:rPr>
          <w:rFonts w:ascii="Times New Roman" w:hAnsi="Times New Roman"/>
          <w:sz w:val="24"/>
          <w:szCs w:val="24"/>
        </w:rPr>
        <w:t xml:space="preserve"> budsjette</w:t>
      </w:r>
      <w:r>
        <w:rPr>
          <w:rFonts w:ascii="Times New Roman" w:hAnsi="Times New Roman"/>
          <w:sz w:val="24"/>
          <w:szCs w:val="24"/>
        </w:rPr>
        <w:t xml:space="preserve">rt, men det må sees i sammenheng med at også utgiftene til vår- og høstmøtene er </w:t>
      </w:r>
      <w:r w:rsidR="00920458">
        <w:rPr>
          <w:rFonts w:ascii="Times New Roman" w:hAnsi="Times New Roman"/>
          <w:sz w:val="24"/>
          <w:szCs w:val="24"/>
        </w:rPr>
        <w:t>lavere</w:t>
      </w:r>
      <w:r>
        <w:rPr>
          <w:rFonts w:ascii="Times New Roman" w:hAnsi="Times New Roman"/>
          <w:sz w:val="24"/>
          <w:szCs w:val="24"/>
        </w:rPr>
        <w:t xml:space="preserve"> enn forutsatt.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815874">
        <w:rPr>
          <w:rFonts w:ascii="Times New Roman" w:hAnsi="Times New Roman"/>
          <w:sz w:val="24"/>
          <w:szCs w:val="24"/>
        </w:rPr>
        <w:t xml:space="preserve">Til sammen </w:t>
      </w:r>
      <w:r w:rsidR="00920458">
        <w:rPr>
          <w:rFonts w:ascii="Times New Roman" w:hAnsi="Times New Roman"/>
          <w:sz w:val="24"/>
          <w:szCs w:val="24"/>
        </w:rPr>
        <w:t>gikk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815874">
        <w:rPr>
          <w:rFonts w:ascii="Times New Roman" w:hAnsi="Times New Roman"/>
          <w:sz w:val="24"/>
          <w:szCs w:val="24"/>
        </w:rPr>
        <w:t xml:space="preserve">e to </w:t>
      </w:r>
      <w:r w:rsidR="009C6030">
        <w:rPr>
          <w:rFonts w:ascii="Times New Roman" w:hAnsi="Times New Roman"/>
          <w:sz w:val="24"/>
          <w:szCs w:val="24"/>
        </w:rPr>
        <w:t>«</w:t>
      </w:r>
      <w:r w:rsidR="00815874">
        <w:rPr>
          <w:rFonts w:ascii="Times New Roman" w:hAnsi="Times New Roman"/>
          <w:sz w:val="24"/>
          <w:szCs w:val="24"/>
        </w:rPr>
        <w:t>stormøtene</w:t>
      </w:r>
      <w:r w:rsidR="009C6030">
        <w:rPr>
          <w:rFonts w:ascii="Times New Roman" w:hAnsi="Times New Roman"/>
          <w:sz w:val="24"/>
          <w:szCs w:val="24"/>
        </w:rPr>
        <w:t>»</w:t>
      </w:r>
      <w:r w:rsidR="00815874">
        <w:rPr>
          <w:rFonts w:ascii="Times New Roman" w:hAnsi="Times New Roman"/>
          <w:sz w:val="24"/>
          <w:szCs w:val="24"/>
        </w:rPr>
        <w:t xml:space="preserve"> </w:t>
      </w:r>
      <w:r w:rsidR="00920458">
        <w:rPr>
          <w:rFonts w:ascii="Times New Roman" w:hAnsi="Times New Roman"/>
          <w:sz w:val="24"/>
          <w:szCs w:val="24"/>
        </w:rPr>
        <w:t>i pluss med rundt 80.000 kroner i fjor</w:t>
      </w:r>
      <w:r>
        <w:rPr>
          <w:rFonts w:ascii="Times New Roman" w:hAnsi="Times New Roman"/>
          <w:sz w:val="24"/>
          <w:szCs w:val="24"/>
        </w:rPr>
        <w:t xml:space="preserve">. </w:t>
      </w:r>
      <w:r w:rsidR="00920458">
        <w:rPr>
          <w:rFonts w:ascii="Times New Roman" w:hAnsi="Times New Roman"/>
          <w:sz w:val="24"/>
          <w:szCs w:val="24"/>
        </w:rPr>
        <w:t>Knapt 100.000 kroner av</w:t>
      </w:r>
      <w:r>
        <w:rPr>
          <w:rFonts w:ascii="Times New Roman" w:hAnsi="Times New Roman"/>
          <w:sz w:val="24"/>
          <w:szCs w:val="24"/>
        </w:rPr>
        <w:t xml:space="preserve"> møteinntektene gjelder NR Kompetanse.</w:t>
      </w:r>
      <w:r w:rsidR="009014A6">
        <w:rPr>
          <w:rFonts w:ascii="Times New Roman" w:hAnsi="Times New Roman"/>
          <w:sz w:val="24"/>
          <w:szCs w:val="24"/>
        </w:rPr>
        <w:t xml:space="preserve"> </w:t>
      </w:r>
      <w:r w:rsidR="00815874">
        <w:rPr>
          <w:rFonts w:ascii="Times New Roman" w:hAnsi="Times New Roman"/>
          <w:sz w:val="24"/>
          <w:szCs w:val="24"/>
        </w:rPr>
        <w:t xml:space="preserve"> Posten </w:t>
      </w:r>
      <w:r w:rsidR="009C6030">
        <w:rPr>
          <w:rFonts w:ascii="Times New Roman" w:hAnsi="Times New Roman"/>
          <w:sz w:val="24"/>
          <w:szCs w:val="24"/>
        </w:rPr>
        <w:t>«</w:t>
      </w:r>
      <w:r w:rsidR="00EA0C8E">
        <w:rPr>
          <w:rFonts w:ascii="Times New Roman" w:hAnsi="Times New Roman"/>
          <w:sz w:val="24"/>
          <w:szCs w:val="24"/>
        </w:rPr>
        <w:t>a</w:t>
      </w:r>
      <w:r w:rsidR="00815874">
        <w:rPr>
          <w:rFonts w:ascii="Times New Roman" w:hAnsi="Times New Roman"/>
          <w:sz w:val="24"/>
          <w:szCs w:val="24"/>
        </w:rPr>
        <w:t>ndre inntekter</w:t>
      </w:r>
      <w:r w:rsidR="009C6030">
        <w:rPr>
          <w:rFonts w:ascii="Times New Roman" w:hAnsi="Times New Roman"/>
          <w:sz w:val="24"/>
          <w:szCs w:val="24"/>
        </w:rPr>
        <w:t>»</w:t>
      </w:r>
      <w:r w:rsidR="00815874">
        <w:rPr>
          <w:rFonts w:ascii="Times New Roman" w:hAnsi="Times New Roman"/>
          <w:sz w:val="24"/>
          <w:szCs w:val="24"/>
        </w:rPr>
        <w:t xml:space="preserve"> er  høyere enn budsjettert. Det</w:t>
      </w:r>
      <w:r>
        <w:rPr>
          <w:rFonts w:ascii="Times New Roman" w:hAnsi="Times New Roman"/>
          <w:sz w:val="24"/>
          <w:szCs w:val="24"/>
        </w:rPr>
        <w:t xml:space="preserve"> skyldes </w:t>
      </w:r>
      <w:r w:rsidR="00920458">
        <w:rPr>
          <w:rFonts w:ascii="Times New Roman" w:hAnsi="Times New Roman"/>
          <w:sz w:val="24"/>
          <w:szCs w:val="24"/>
        </w:rPr>
        <w:t xml:space="preserve">primært </w:t>
      </w:r>
      <w:r>
        <w:rPr>
          <w:rFonts w:ascii="Times New Roman" w:hAnsi="Times New Roman"/>
          <w:sz w:val="24"/>
          <w:szCs w:val="24"/>
        </w:rPr>
        <w:t>et prosjektstyringstilskudd fra UD i forbindelse med vårt engasjement i Egyptian Editors Forum (EEF)</w:t>
      </w:r>
      <w:r w:rsidR="009014A6">
        <w:rPr>
          <w:rFonts w:ascii="Times New Roman" w:hAnsi="Times New Roman"/>
          <w:sz w:val="24"/>
          <w:szCs w:val="24"/>
        </w:rPr>
        <w:t>.</w:t>
      </w:r>
      <w:r w:rsidR="000979BB">
        <w:rPr>
          <w:rFonts w:ascii="Times New Roman" w:hAnsi="Times New Roman"/>
          <w:sz w:val="24"/>
          <w:szCs w:val="24"/>
        </w:rPr>
        <w:t xml:space="preserve"> Når posten Prosjektmidler/PFF er høyere enn budsjettert, så skyldes det et tilskudd fra Pressens Faglitteraturfond (PFF) i forbindelse med utgivelsen av «Redaktør</w:t>
      </w:r>
      <w:r w:rsidR="005653AB">
        <w:rPr>
          <w:rFonts w:ascii="Times New Roman" w:hAnsi="Times New Roman"/>
          <w:sz w:val="24"/>
          <w:szCs w:val="24"/>
        </w:rPr>
        <w:t>håndboken</w:t>
      </w:r>
      <w:r w:rsidR="000979BB">
        <w:rPr>
          <w:rFonts w:ascii="Times New Roman" w:hAnsi="Times New Roman"/>
          <w:sz w:val="24"/>
          <w:szCs w:val="24"/>
        </w:rPr>
        <w:t>».</w:t>
      </w:r>
    </w:p>
    <w:p w14:paraId="7F4D6F77" w14:textId="77777777" w:rsidR="009B64BD" w:rsidRDefault="009B64BD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8BA2FB3" w14:textId="274876FB" w:rsidR="00A47719" w:rsidRDefault="009B64BD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Samlede inntekter </w:t>
      </w:r>
      <w:r w:rsidR="00815874">
        <w:rPr>
          <w:rFonts w:ascii="Times New Roman" w:hAnsi="Times New Roman"/>
          <w:sz w:val="24"/>
          <w:szCs w:val="24"/>
        </w:rPr>
        <w:t>endte</w:t>
      </w:r>
      <w:r w:rsidR="007459F7">
        <w:rPr>
          <w:rFonts w:ascii="Times New Roman" w:hAnsi="Times New Roman"/>
          <w:sz w:val="24"/>
          <w:szCs w:val="24"/>
        </w:rPr>
        <w:t xml:space="preserve"> på </w:t>
      </w:r>
      <w:r w:rsidR="00815874">
        <w:rPr>
          <w:rFonts w:ascii="Times New Roman" w:hAnsi="Times New Roman"/>
          <w:sz w:val="24"/>
          <w:szCs w:val="24"/>
        </w:rPr>
        <w:t>10.</w:t>
      </w:r>
      <w:r w:rsidR="005653AB">
        <w:rPr>
          <w:rFonts w:ascii="Times New Roman" w:hAnsi="Times New Roman"/>
          <w:sz w:val="24"/>
          <w:szCs w:val="24"/>
        </w:rPr>
        <w:t>165.104</w:t>
      </w:r>
      <w:r w:rsidR="007459F7">
        <w:rPr>
          <w:rFonts w:ascii="Times New Roman" w:hAnsi="Times New Roman"/>
          <w:sz w:val="24"/>
          <w:szCs w:val="24"/>
        </w:rPr>
        <w:t xml:space="preserve"> kroner, som </w:t>
      </w:r>
      <w:r w:rsidR="009014A6">
        <w:rPr>
          <w:rFonts w:ascii="Times New Roman" w:hAnsi="Times New Roman"/>
          <w:sz w:val="24"/>
          <w:szCs w:val="24"/>
        </w:rPr>
        <w:t xml:space="preserve">er </w:t>
      </w:r>
      <w:r w:rsidR="005653AB">
        <w:rPr>
          <w:rFonts w:ascii="Times New Roman" w:hAnsi="Times New Roman"/>
          <w:sz w:val="24"/>
          <w:szCs w:val="24"/>
        </w:rPr>
        <w:t>160</w:t>
      </w:r>
      <w:r w:rsidR="00A95417">
        <w:rPr>
          <w:rFonts w:ascii="Times New Roman" w:hAnsi="Times New Roman"/>
          <w:sz w:val="24"/>
          <w:szCs w:val="24"/>
        </w:rPr>
        <w:t>.000 kroner høyere enn budsjettert</w:t>
      </w:r>
      <w:r w:rsidR="00C605A1">
        <w:rPr>
          <w:rFonts w:ascii="Times New Roman" w:hAnsi="Times New Roman"/>
          <w:sz w:val="24"/>
          <w:szCs w:val="24"/>
        </w:rPr>
        <w:t xml:space="preserve">, og rundt </w:t>
      </w:r>
      <w:r w:rsidR="005653AB">
        <w:rPr>
          <w:rFonts w:ascii="Times New Roman" w:hAnsi="Times New Roman"/>
          <w:sz w:val="24"/>
          <w:szCs w:val="24"/>
        </w:rPr>
        <w:t>110</w:t>
      </w:r>
      <w:r w:rsidR="00C605A1">
        <w:rPr>
          <w:rFonts w:ascii="Times New Roman" w:hAnsi="Times New Roman"/>
          <w:sz w:val="24"/>
          <w:szCs w:val="24"/>
        </w:rPr>
        <w:t>.000 kroner høyere enn prognosen.</w:t>
      </w:r>
      <w:r w:rsidR="0066147F">
        <w:rPr>
          <w:rFonts w:ascii="Times New Roman" w:hAnsi="Times New Roman"/>
          <w:sz w:val="24"/>
          <w:szCs w:val="24"/>
        </w:rPr>
        <w:t xml:space="preserve"> </w:t>
      </w:r>
    </w:p>
    <w:p w14:paraId="79C4CF73" w14:textId="77777777" w:rsidR="00A95417" w:rsidRDefault="00A95417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E575E6D" w14:textId="77777777" w:rsidR="00A47719" w:rsidRPr="00A47719" w:rsidRDefault="00A47719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47719">
        <w:rPr>
          <w:rFonts w:ascii="Times New Roman" w:hAnsi="Times New Roman"/>
          <w:b/>
          <w:sz w:val="24"/>
          <w:szCs w:val="24"/>
        </w:rPr>
        <w:t>Kostnadene</w:t>
      </w:r>
    </w:p>
    <w:p w14:paraId="48CE2196" w14:textId="3B47F3EF" w:rsidR="007459F7" w:rsidRPr="004E33E8" w:rsidRDefault="007459F7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>De samlede kostnader i 201</w:t>
      </w:r>
      <w:r w:rsidR="00A95417">
        <w:rPr>
          <w:rFonts w:ascii="Times New Roman" w:hAnsi="Times New Roman"/>
          <w:sz w:val="24"/>
          <w:szCs w:val="24"/>
        </w:rPr>
        <w:t>6</w:t>
      </w:r>
      <w:r w:rsidR="00C605A1">
        <w:rPr>
          <w:rFonts w:ascii="Times New Roman" w:hAnsi="Times New Roman"/>
          <w:sz w:val="24"/>
          <w:szCs w:val="24"/>
        </w:rPr>
        <w:t xml:space="preserve"> endte på </w:t>
      </w:r>
      <w:r w:rsidR="005653AB">
        <w:rPr>
          <w:rFonts w:ascii="Times New Roman" w:hAnsi="Times New Roman"/>
          <w:sz w:val="24"/>
          <w:szCs w:val="24"/>
        </w:rPr>
        <w:t>9.582.589</w:t>
      </w:r>
      <w:r w:rsidRPr="004E33E8">
        <w:rPr>
          <w:rFonts w:ascii="Times New Roman" w:hAnsi="Times New Roman"/>
          <w:sz w:val="24"/>
          <w:szCs w:val="24"/>
        </w:rPr>
        <w:t xml:space="preserve"> kroner, </w:t>
      </w:r>
      <w:r w:rsidR="00C605A1">
        <w:rPr>
          <w:rFonts w:ascii="Times New Roman" w:hAnsi="Times New Roman"/>
          <w:sz w:val="24"/>
          <w:szCs w:val="24"/>
        </w:rPr>
        <w:t xml:space="preserve">hvilket er rundt </w:t>
      </w:r>
      <w:r w:rsidR="005653AB">
        <w:rPr>
          <w:rFonts w:ascii="Times New Roman" w:hAnsi="Times New Roman"/>
          <w:sz w:val="24"/>
          <w:szCs w:val="24"/>
        </w:rPr>
        <w:t>400</w:t>
      </w:r>
      <w:r w:rsidR="00C605A1">
        <w:rPr>
          <w:rFonts w:ascii="Times New Roman" w:hAnsi="Times New Roman"/>
          <w:sz w:val="24"/>
          <w:szCs w:val="24"/>
        </w:rPr>
        <w:t xml:space="preserve">.000 kroner </w:t>
      </w:r>
      <w:r w:rsidR="00A95417">
        <w:rPr>
          <w:rFonts w:ascii="Times New Roman" w:hAnsi="Times New Roman"/>
          <w:sz w:val="24"/>
          <w:szCs w:val="24"/>
        </w:rPr>
        <w:t>mindre</w:t>
      </w:r>
      <w:r w:rsidR="00C605A1">
        <w:rPr>
          <w:rFonts w:ascii="Times New Roman" w:hAnsi="Times New Roman"/>
          <w:sz w:val="24"/>
          <w:szCs w:val="24"/>
        </w:rPr>
        <w:t xml:space="preserve"> enn budsjettert</w:t>
      </w:r>
      <w:r w:rsidR="005653AB">
        <w:rPr>
          <w:rFonts w:ascii="Times New Roman" w:hAnsi="Times New Roman"/>
          <w:sz w:val="24"/>
          <w:szCs w:val="24"/>
        </w:rPr>
        <w:t>, men drøyt 70.000 kroner høyere enn prognosen</w:t>
      </w:r>
      <w:r w:rsidR="00C605A1">
        <w:rPr>
          <w:rFonts w:ascii="Times New Roman" w:hAnsi="Times New Roman"/>
          <w:sz w:val="24"/>
          <w:szCs w:val="24"/>
        </w:rPr>
        <w:t xml:space="preserve"> fremlagt </w:t>
      </w:r>
      <w:r w:rsidR="00A95417">
        <w:rPr>
          <w:rFonts w:ascii="Times New Roman" w:hAnsi="Times New Roman"/>
          <w:sz w:val="24"/>
          <w:szCs w:val="24"/>
        </w:rPr>
        <w:t>6</w:t>
      </w:r>
      <w:r w:rsidR="00C605A1">
        <w:rPr>
          <w:rFonts w:ascii="Times New Roman" w:hAnsi="Times New Roman"/>
          <w:sz w:val="24"/>
          <w:szCs w:val="24"/>
        </w:rPr>
        <w:t>. desember.</w:t>
      </w:r>
    </w:p>
    <w:p w14:paraId="26EB54DB" w14:textId="77777777" w:rsidR="007459F7" w:rsidRPr="004E33E8" w:rsidRDefault="007459F7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D231579" w14:textId="09CEBE8D" w:rsidR="007459F7" w:rsidRDefault="007459F7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 xml:space="preserve">Driftsmessig gir dette et </w:t>
      </w:r>
      <w:r w:rsidR="00E22382" w:rsidRPr="004E33E8">
        <w:rPr>
          <w:rFonts w:ascii="Times New Roman" w:hAnsi="Times New Roman"/>
          <w:sz w:val="24"/>
          <w:szCs w:val="24"/>
        </w:rPr>
        <w:t>overskudd</w:t>
      </w:r>
      <w:r w:rsidRPr="004E33E8">
        <w:rPr>
          <w:rFonts w:ascii="Times New Roman" w:hAnsi="Times New Roman"/>
          <w:sz w:val="24"/>
          <w:szCs w:val="24"/>
        </w:rPr>
        <w:t xml:space="preserve"> på </w:t>
      </w:r>
      <w:r w:rsidR="005653AB">
        <w:rPr>
          <w:rFonts w:ascii="Times New Roman" w:hAnsi="Times New Roman"/>
          <w:sz w:val="24"/>
          <w:szCs w:val="24"/>
        </w:rPr>
        <w:t>582.515</w:t>
      </w:r>
      <w:r w:rsidRPr="004E33E8">
        <w:rPr>
          <w:rFonts w:ascii="Times New Roman" w:hAnsi="Times New Roman"/>
          <w:sz w:val="24"/>
          <w:szCs w:val="24"/>
        </w:rPr>
        <w:t xml:space="preserve"> kroner</w:t>
      </w:r>
      <w:r w:rsidR="00A95417">
        <w:rPr>
          <w:rFonts w:ascii="Times New Roman" w:hAnsi="Times New Roman"/>
          <w:sz w:val="24"/>
          <w:szCs w:val="24"/>
        </w:rPr>
        <w:t>.</w:t>
      </w:r>
      <w:r w:rsidRPr="004E33E8">
        <w:rPr>
          <w:rFonts w:ascii="Times New Roman" w:hAnsi="Times New Roman"/>
          <w:sz w:val="24"/>
          <w:szCs w:val="24"/>
        </w:rPr>
        <w:t xml:space="preserve"> </w:t>
      </w:r>
      <w:r w:rsidR="00A95417">
        <w:rPr>
          <w:rFonts w:ascii="Times New Roman" w:hAnsi="Times New Roman"/>
          <w:sz w:val="24"/>
          <w:szCs w:val="24"/>
        </w:rPr>
        <w:t>M</w:t>
      </w:r>
      <w:r w:rsidRPr="004E33E8">
        <w:rPr>
          <w:rFonts w:ascii="Times New Roman" w:hAnsi="Times New Roman"/>
          <w:sz w:val="24"/>
          <w:szCs w:val="24"/>
        </w:rPr>
        <w:t xml:space="preserve">ed </w:t>
      </w:r>
      <w:r w:rsidR="00C605A1">
        <w:rPr>
          <w:rFonts w:ascii="Times New Roman" w:hAnsi="Times New Roman"/>
          <w:sz w:val="24"/>
          <w:szCs w:val="24"/>
        </w:rPr>
        <w:t xml:space="preserve">netto finansposter på drøyt </w:t>
      </w:r>
      <w:r w:rsidR="005653AB">
        <w:rPr>
          <w:rFonts w:ascii="Times New Roman" w:hAnsi="Times New Roman"/>
          <w:sz w:val="24"/>
          <w:szCs w:val="24"/>
        </w:rPr>
        <w:t>knappe 13</w:t>
      </w:r>
      <w:r w:rsidR="00C605A1">
        <w:rPr>
          <w:rFonts w:ascii="Times New Roman" w:hAnsi="Times New Roman"/>
          <w:sz w:val="24"/>
          <w:szCs w:val="24"/>
        </w:rPr>
        <w:t>.</w:t>
      </w:r>
      <w:r w:rsidR="005653AB">
        <w:rPr>
          <w:rFonts w:ascii="Times New Roman" w:hAnsi="Times New Roman"/>
          <w:sz w:val="24"/>
          <w:szCs w:val="24"/>
        </w:rPr>
        <w:t>5</w:t>
      </w:r>
      <w:r w:rsidR="00C605A1">
        <w:rPr>
          <w:rFonts w:ascii="Times New Roman" w:hAnsi="Times New Roman"/>
          <w:sz w:val="24"/>
          <w:szCs w:val="24"/>
        </w:rPr>
        <w:t xml:space="preserve">00 </w:t>
      </w:r>
      <w:r w:rsidRPr="004E33E8">
        <w:rPr>
          <w:rFonts w:ascii="Times New Roman" w:hAnsi="Times New Roman"/>
          <w:sz w:val="24"/>
          <w:szCs w:val="24"/>
        </w:rPr>
        <w:t>kroner bl</w:t>
      </w:r>
      <w:r w:rsidR="004231C6" w:rsidRPr="004E33E8">
        <w:rPr>
          <w:rFonts w:ascii="Times New Roman" w:hAnsi="Times New Roman"/>
          <w:sz w:val="24"/>
          <w:szCs w:val="24"/>
        </w:rPr>
        <w:t>ir</w:t>
      </w:r>
      <w:r w:rsidRPr="004E33E8">
        <w:rPr>
          <w:rFonts w:ascii="Times New Roman" w:hAnsi="Times New Roman"/>
          <w:sz w:val="24"/>
          <w:szCs w:val="24"/>
        </w:rPr>
        <w:t xml:space="preserve"> altså sluttresultat etter finansposter på </w:t>
      </w:r>
      <w:r w:rsidR="005653AB">
        <w:rPr>
          <w:rFonts w:ascii="Times New Roman" w:hAnsi="Times New Roman"/>
          <w:sz w:val="24"/>
          <w:szCs w:val="24"/>
        </w:rPr>
        <w:t>595.875</w:t>
      </w:r>
      <w:r w:rsidRPr="004E33E8">
        <w:rPr>
          <w:rFonts w:ascii="Times New Roman" w:hAnsi="Times New Roman"/>
          <w:sz w:val="24"/>
          <w:szCs w:val="24"/>
        </w:rPr>
        <w:t xml:space="preserve"> kroner.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FB9A79" w14:textId="77777777" w:rsidR="0066147F" w:rsidRDefault="0066147F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061F3CB" w14:textId="77777777" w:rsidR="00CB3758" w:rsidRPr="00CB3758" w:rsidRDefault="00CB3758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B3758">
        <w:rPr>
          <w:rFonts w:ascii="Times New Roman" w:hAnsi="Times New Roman"/>
          <w:b/>
          <w:sz w:val="24"/>
          <w:szCs w:val="24"/>
        </w:rPr>
        <w:t>Prosjektkostnader</w:t>
      </w:r>
    </w:p>
    <w:p w14:paraId="18D27270" w14:textId="38A04C56" w:rsidR="004231C6" w:rsidRDefault="00CB3758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Kostnadene til prosjekter (fellesutgifter med øvrige organisasjoner, møter, seminarer og prosjekter</w:t>
      </w:r>
      <w:r w:rsidR="00B46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er utgiftsført med </w:t>
      </w:r>
      <w:r w:rsidR="00C605A1">
        <w:rPr>
          <w:rFonts w:ascii="Times New Roman" w:hAnsi="Times New Roman"/>
          <w:sz w:val="24"/>
          <w:szCs w:val="24"/>
        </w:rPr>
        <w:t>totalt</w:t>
      </w:r>
      <w:r>
        <w:rPr>
          <w:rFonts w:ascii="Times New Roman" w:hAnsi="Times New Roman"/>
          <w:sz w:val="24"/>
          <w:szCs w:val="24"/>
        </w:rPr>
        <w:t xml:space="preserve"> </w:t>
      </w:r>
      <w:r w:rsidR="005653AB">
        <w:rPr>
          <w:rFonts w:ascii="Times New Roman" w:hAnsi="Times New Roman"/>
          <w:sz w:val="24"/>
          <w:szCs w:val="24"/>
        </w:rPr>
        <w:t>4.052.979</w:t>
      </w:r>
      <w:r w:rsidR="00B46BAA">
        <w:rPr>
          <w:rFonts w:ascii="Times New Roman" w:hAnsi="Times New Roman"/>
          <w:sz w:val="24"/>
          <w:szCs w:val="24"/>
        </w:rPr>
        <w:t xml:space="preserve"> kroner mot budsjettert </w:t>
      </w:r>
      <w:r w:rsidR="005653AB">
        <w:rPr>
          <w:rFonts w:ascii="Times New Roman" w:hAnsi="Times New Roman"/>
          <w:sz w:val="24"/>
          <w:szCs w:val="24"/>
        </w:rPr>
        <w:t>4.120.000</w:t>
      </w:r>
      <w:r w:rsidR="00B46BAA">
        <w:rPr>
          <w:rFonts w:ascii="Times New Roman" w:hAnsi="Times New Roman"/>
          <w:sz w:val="24"/>
          <w:szCs w:val="24"/>
        </w:rPr>
        <w:t xml:space="preserve"> kroner</w:t>
      </w:r>
      <w:r w:rsidR="004231C6">
        <w:rPr>
          <w:rFonts w:ascii="Times New Roman" w:hAnsi="Times New Roman"/>
          <w:sz w:val="24"/>
          <w:szCs w:val="24"/>
        </w:rPr>
        <w:t>, altså e</w:t>
      </w:r>
      <w:r w:rsidR="005653AB">
        <w:rPr>
          <w:rFonts w:ascii="Times New Roman" w:hAnsi="Times New Roman"/>
          <w:sz w:val="24"/>
          <w:szCs w:val="24"/>
        </w:rPr>
        <w:t>t</w:t>
      </w:r>
      <w:r w:rsidR="004231C6">
        <w:rPr>
          <w:rFonts w:ascii="Times New Roman" w:hAnsi="Times New Roman"/>
          <w:sz w:val="24"/>
          <w:szCs w:val="24"/>
        </w:rPr>
        <w:t xml:space="preserve"> </w:t>
      </w:r>
      <w:r w:rsidR="005653AB">
        <w:rPr>
          <w:rFonts w:ascii="Times New Roman" w:hAnsi="Times New Roman"/>
          <w:sz w:val="24"/>
          <w:szCs w:val="24"/>
        </w:rPr>
        <w:t>underforbruk på knappe 70</w:t>
      </w:r>
      <w:r w:rsidR="004231C6">
        <w:rPr>
          <w:rFonts w:ascii="Times New Roman" w:hAnsi="Times New Roman"/>
          <w:sz w:val="24"/>
          <w:szCs w:val="24"/>
        </w:rPr>
        <w:t xml:space="preserve">.000 kroner. </w:t>
      </w:r>
      <w:r w:rsidR="00E22382">
        <w:rPr>
          <w:rFonts w:ascii="Times New Roman" w:hAnsi="Times New Roman"/>
          <w:sz w:val="24"/>
          <w:szCs w:val="24"/>
        </w:rPr>
        <w:t>Det skyldes i hovedsak</w:t>
      </w:r>
      <w:r w:rsidR="00A95417">
        <w:rPr>
          <w:rFonts w:ascii="Times New Roman" w:hAnsi="Times New Roman"/>
          <w:sz w:val="24"/>
          <w:szCs w:val="24"/>
        </w:rPr>
        <w:t xml:space="preserve"> </w:t>
      </w:r>
      <w:r w:rsidR="005653AB">
        <w:rPr>
          <w:rFonts w:ascii="Times New Roman" w:hAnsi="Times New Roman"/>
          <w:sz w:val="24"/>
          <w:szCs w:val="24"/>
        </w:rPr>
        <w:t>lavere</w:t>
      </w:r>
      <w:r w:rsidR="00A95417">
        <w:rPr>
          <w:rFonts w:ascii="Times New Roman" w:hAnsi="Times New Roman"/>
          <w:sz w:val="24"/>
          <w:szCs w:val="24"/>
        </w:rPr>
        <w:t xml:space="preserve"> kostnader på vår- og høstmøtene, samt</w:t>
      </w:r>
      <w:r w:rsidR="005653AB">
        <w:rPr>
          <w:rFonts w:ascii="Times New Roman" w:hAnsi="Times New Roman"/>
          <w:sz w:val="24"/>
          <w:szCs w:val="24"/>
        </w:rPr>
        <w:t xml:space="preserve"> at vi ikke har brukt hele posten for «</w:t>
      </w:r>
      <w:r w:rsidR="009C6030">
        <w:rPr>
          <w:rFonts w:ascii="Times New Roman" w:hAnsi="Times New Roman"/>
          <w:sz w:val="24"/>
          <w:szCs w:val="24"/>
        </w:rPr>
        <w:t>p</w:t>
      </w:r>
      <w:r w:rsidR="005653AB">
        <w:rPr>
          <w:rFonts w:ascii="Times New Roman" w:hAnsi="Times New Roman"/>
          <w:sz w:val="24"/>
          <w:szCs w:val="24"/>
        </w:rPr>
        <w:t>rosjekter og utredninger»</w:t>
      </w:r>
      <w:r w:rsidR="00A95417">
        <w:rPr>
          <w:rFonts w:ascii="Times New Roman" w:hAnsi="Times New Roman"/>
          <w:sz w:val="24"/>
          <w:szCs w:val="24"/>
        </w:rPr>
        <w:t>.</w:t>
      </w:r>
      <w:r w:rsidR="005653AB">
        <w:rPr>
          <w:rFonts w:ascii="Times New Roman" w:hAnsi="Times New Roman"/>
          <w:sz w:val="24"/>
          <w:szCs w:val="24"/>
        </w:rPr>
        <w:t xml:space="preserve"> </w:t>
      </w:r>
      <w:r w:rsidR="00C605A1">
        <w:rPr>
          <w:rFonts w:ascii="Times New Roman" w:hAnsi="Times New Roman"/>
          <w:sz w:val="24"/>
          <w:szCs w:val="24"/>
        </w:rPr>
        <w:t xml:space="preserve"> </w:t>
      </w:r>
      <w:r w:rsidR="005653AB">
        <w:rPr>
          <w:rFonts w:ascii="Times New Roman" w:hAnsi="Times New Roman"/>
          <w:sz w:val="24"/>
          <w:szCs w:val="24"/>
        </w:rPr>
        <w:t>Når det gjelder «</w:t>
      </w:r>
      <w:r w:rsidR="009C6030">
        <w:rPr>
          <w:rFonts w:ascii="Times New Roman" w:hAnsi="Times New Roman"/>
          <w:sz w:val="24"/>
          <w:szCs w:val="24"/>
        </w:rPr>
        <w:t>t</w:t>
      </w:r>
      <w:r w:rsidR="005653AB">
        <w:rPr>
          <w:rFonts w:ascii="Times New Roman" w:hAnsi="Times New Roman"/>
          <w:sz w:val="24"/>
          <w:szCs w:val="24"/>
        </w:rPr>
        <w:t xml:space="preserve">iltak i handlingsplanen» så må overskridelsen sees i sammenheng med at en stor del av utgiftene er dekket inn gjennom tilskuddet fra PFF, redegjort for under inntektspostene. </w:t>
      </w:r>
      <w:r w:rsidR="00172AFB">
        <w:rPr>
          <w:rFonts w:ascii="Times New Roman" w:hAnsi="Times New Roman"/>
          <w:sz w:val="24"/>
          <w:szCs w:val="24"/>
        </w:rPr>
        <w:t>Vi nevner for øvrig at under posten «</w:t>
      </w:r>
      <w:r w:rsidR="009C6030">
        <w:rPr>
          <w:rFonts w:ascii="Times New Roman" w:hAnsi="Times New Roman"/>
          <w:sz w:val="24"/>
          <w:szCs w:val="24"/>
        </w:rPr>
        <w:t>k</w:t>
      </w:r>
      <w:r w:rsidR="00172AFB">
        <w:rPr>
          <w:rFonts w:ascii="Times New Roman" w:hAnsi="Times New Roman"/>
          <w:sz w:val="24"/>
          <w:szCs w:val="24"/>
        </w:rPr>
        <w:t xml:space="preserve">ostnader andre møter» </w:t>
      </w:r>
      <w:r w:rsidR="00C605A1">
        <w:rPr>
          <w:rFonts w:ascii="Times New Roman" w:hAnsi="Times New Roman"/>
          <w:sz w:val="24"/>
          <w:szCs w:val="24"/>
        </w:rPr>
        <w:t xml:space="preserve">føres utgifter til alle møter utenom vår- og høstmøtene, det vil si alle styremøter, NR Kompetanse, </w:t>
      </w:r>
      <w:r w:rsidR="008D601B">
        <w:rPr>
          <w:rFonts w:ascii="Times New Roman" w:hAnsi="Times New Roman"/>
          <w:sz w:val="24"/>
          <w:szCs w:val="24"/>
        </w:rPr>
        <w:t>m</w:t>
      </w:r>
      <w:r w:rsidR="00C605A1">
        <w:rPr>
          <w:rFonts w:ascii="Times New Roman" w:hAnsi="Times New Roman"/>
          <w:sz w:val="24"/>
          <w:szCs w:val="24"/>
        </w:rPr>
        <w:t xml:space="preserve">edierettsseminaret, </w:t>
      </w:r>
      <w:r w:rsidR="00EA0C8E">
        <w:rPr>
          <w:rFonts w:ascii="Times New Roman" w:hAnsi="Times New Roman"/>
          <w:sz w:val="24"/>
          <w:szCs w:val="24"/>
        </w:rPr>
        <w:t>v</w:t>
      </w:r>
      <w:r w:rsidR="00C605A1">
        <w:rPr>
          <w:rFonts w:ascii="Times New Roman" w:hAnsi="Times New Roman"/>
          <w:sz w:val="24"/>
          <w:szCs w:val="24"/>
        </w:rPr>
        <w:t xml:space="preserve">elkomstseminaret, samt andre møter og aktiviteter som NR står bak, enten alene eller sammen med andre. </w:t>
      </w:r>
      <w:r w:rsidR="00B948ED">
        <w:rPr>
          <w:rFonts w:ascii="Times New Roman" w:hAnsi="Times New Roman"/>
          <w:sz w:val="24"/>
          <w:szCs w:val="24"/>
        </w:rPr>
        <w:t>Generelt er posten</w:t>
      </w:r>
      <w:r w:rsidR="005653AB">
        <w:rPr>
          <w:rFonts w:ascii="Times New Roman" w:hAnsi="Times New Roman"/>
          <w:sz w:val="24"/>
          <w:szCs w:val="24"/>
        </w:rPr>
        <w:t xml:space="preserve"> </w:t>
      </w:r>
      <w:r w:rsidR="009C6030">
        <w:rPr>
          <w:rFonts w:ascii="Times New Roman" w:hAnsi="Times New Roman"/>
          <w:sz w:val="24"/>
          <w:szCs w:val="24"/>
        </w:rPr>
        <w:t>«</w:t>
      </w:r>
      <w:r w:rsidR="00EA0C8E">
        <w:rPr>
          <w:rFonts w:ascii="Times New Roman" w:hAnsi="Times New Roman"/>
          <w:sz w:val="24"/>
          <w:szCs w:val="24"/>
        </w:rPr>
        <w:t>k</w:t>
      </w:r>
      <w:r w:rsidR="00B948ED">
        <w:rPr>
          <w:rFonts w:ascii="Times New Roman" w:hAnsi="Times New Roman"/>
          <w:sz w:val="24"/>
          <w:szCs w:val="24"/>
        </w:rPr>
        <w:t>ostnader andre møter</w:t>
      </w:r>
      <w:r w:rsidR="009C6030">
        <w:rPr>
          <w:rFonts w:ascii="Times New Roman" w:hAnsi="Times New Roman"/>
          <w:sz w:val="24"/>
          <w:szCs w:val="24"/>
        </w:rPr>
        <w:t>»</w:t>
      </w:r>
      <w:r w:rsidR="00B948ED">
        <w:rPr>
          <w:rFonts w:ascii="Times New Roman" w:hAnsi="Times New Roman"/>
          <w:sz w:val="24"/>
          <w:szCs w:val="24"/>
        </w:rPr>
        <w:t xml:space="preserve"> en pekepinn på aktivitetsnivået – i det minste hva gjelder utadrettet virksomhet – i NR-sekretariatet. </w:t>
      </w:r>
    </w:p>
    <w:p w14:paraId="5C7CF54C" w14:textId="77777777" w:rsidR="00A75A7B" w:rsidRDefault="00B46BAA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DB50CE" w14:textId="77777777" w:rsidR="007B5F9D" w:rsidRPr="004E33E8" w:rsidRDefault="007B5F9D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E33E8">
        <w:rPr>
          <w:rFonts w:ascii="Times New Roman" w:hAnsi="Times New Roman"/>
          <w:b/>
          <w:sz w:val="24"/>
          <w:szCs w:val="24"/>
        </w:rPr>
        <w:t>Personalkostnader</w:t>
      </w:r>
    </w:p>
    <w:p w14:paraId="38B7D3C4" w14:textId="41EA71BB" w:rsidR="007B5F9D" w:rsidRDefault="007B5F9D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 xml:space="preserve">Kostnadene til lønn og andre personalkostnader </w:t>
      </w:r>
      <w:r w:rsidR="004231C6" w:rsidRPr="004E33E8">
        <w:rPr>
          <w:rFonts w:ascii="Times New Roman" w:hAnsi="Times New Roman"/>
          <w:sz w:val="24"/>
          <w:szCs w:val="24"/>
        </w:rPr>
        <w:t xml:space="preserve">endte rundt </w:t>
      </w:r>
      <w:r w:rsidR="00172AFB">
        <w:rPr>
          <w:rFonts w:ascii="Times New Roman" w:hAnsi="Times New Roman"/>
          <w:sz w:val="24"/>
          <w:szCs w:val="24"/>
        </w:rPr>
        <w:t>3</w:t>
      </w:r>
      <w:r w:rsidR="005653AB">
        <w:rPr>
          <w:rFonts w:ascii="Times New Roman" w:hAnsi="Times New Roman"/>
          <w:sz w:val="24"/>
          <w:szCs w:val="24"/>
        </w:rPr>
        <w:t>4</w:t>
      </w:r>
      <w:r w:rsidR="00172AFB">
        <w:rPr>
          <w:rFonts w:ascii="Times New Roman" w:hAnsi="Times New Roman"/>
          <w:sz w:val="24"/>
          <w:szCs w:val="24"/>
        </w:rPr>
        <w:t>0</w:t>
      </w:r>
      <w:r w:rsidR="004231C6" w:rsidRPr="004E33E8">
        <w:rPr>
          <w:rFonts w:ascii="Times New Roman" w:hAnsi="Times New Roman"/>
          <w:sz w:val="24"/>
          <w:szCs w:val="24"/>
        </w:rPr>
        <w:t xml:space="preserve">.000 kroner </w:t>
      </w:r>
      <w:r w:rsidR="00172AFB">
        <w:rPr>
          <w:rFonts w:ascii="Times New Roman" w:hAnsi="Times New Roman"/>
          <w:sz w:val="24"/>
          <w:szCs w:val="24"/>
        </w:rPr>
        <w:t>under</w:t>
      </w:r>
      <w:r w:rsidR="004231C6" w:rsidRPr="004E33E8">
        <w:rPr>
          <w:rFonts w:ascii="Times New Roman" w:hAnsi="Times New Roman"/>
          <w:sz w:val="24"/>
          <w:szCs w:val="24"/>
        </w:rPr>
        <w:t xml:space="preserve"> budsjett. </w:t>
      </w:r>
      <w:r w:rsidR="002C6FF9">
        <w:rPr>
          <w:rFonts w:ascii="Times New Roman" w:hAnsi="Times New Roman"/>
          <w:sz w:val="24"/>
          <w:szCs w:val="24"/>
        </w:rPr>
        <w:t>Det skyldes</w:t>
      </w:r>
      <w:r w:rsidR="00AC3987">
        <w:rPr>
          <w:rFonts w:ascii="Times New Roman" w:hAnsi="Times New Roman"/>
          <w:sz w:val="24"/>
          <w:szCs w:val="24"/>
        </w:rPr>
        <w:t xml:space="preserve"> som nevnt</w:t>
      </w:r>
      <w:r w:rsidR="002C6FF9">
        <w:rPr>
          <w:rFonts w:ascii="Times New Roman" w:hAnsi="Times New Roman"/>
          <w:sz w:val="24"/>
          <w:szCs w:val="24"/>
        </w:rPr>
        <w:t xml:space="preserve"> i hovedsak </w:t>
      </w:r>
      <w:r w:rsidR="00AC3987">
        <w:rPr>
          <w:rFonts w:ascii="Times New Roman" w:hAnsi="Times New Roman"/>
          <w:sz w:val="24"/>
          <w:szCs w:val="24"/>
        </w:rPr>
        <w:t xml:space="preserve">at </w:t>
      </w:r>
      <w:r w:rsidR="005653AB">
        <w:rPr>
          <w:rFonts w:ascii="Times New Roman" w:hAnsi="Times New Roman"/>
          <w:sz w:val="24"/>
          <w:szCs w:val="24"/>
        </w:rPr>
        <w:t>vi budsjetterte noe raust med hensyn til utgifter til lønn og pensjon i 2017.</w:t>
      </w:r>
    </w:p>
    <w:p w14:paraId="7F43D360" w14:textId="77777777" w:rsidR="00512AF2" w:rsidRDefault="00512AF2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8110D86" w14:textId="77777777" w:rsidR="007B5F9D" w:rsidRPr="007B5F9D" w:rsidRDefault="007B5F9D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B5F9D">
        <w:rPr>
          <w:rFonts w:ascii="Times New Roman" w:hAnsi="Times New Roman"/>
          <w:b/>
          <w:sz w:val="24"/>
          <w:szCs w:val="24"/>
        </w:rPr>
        <w:t>Driftskostnader</w:t>
      </w:r>
    </w:p>
    <w:p w14:paraId="7140AD10" w14:textId="667C0794" w:rsidR="0066147F" w:rsidRDefault="006F77F8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samlede driftskostnader i 201</w:t>
      </w:r>
      <w:r w:rsidR="005605D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beløp seg til </w:t>
      </w:r>
      <w:r w:rsidR="00AC3987">
        <w:rPr>
          <w:rFonts w:ascii="Times New Roman" w:hAnsi="Times New Roman"/>
          <w:sz w:val="24"/>
          <w:szCs w:val="24"/>
        </w:rPr>
        <w:t>1.</w:t>
      </w:r>
      <w:r w:rsidR="005605D3">
        <w:rPr>
          <w:rFonts w:ascii="Times New Roman" w:hAnsi="Times New Roman"/>
          <w:sz w:val="24"/>
          <w:szCs w:val="24"/>
        </w:rPr>
        <w:t xml:space="preserve">700.282 </w:t>
      </w:r>
      <w:r>
        <w:rPr>
          <w:rFonts w:ascii="Times New Roman" w:hAnsi="Times New Roman"/>
          <w:sz w:val="24"/>
          <w:szCs w:val="24"/>
        </w:rPr>
        <w:t xml:space="preserve">kroner, </w:t>
      </w:r>
      <w:r w:rsidR="00B948ED">
        <w:rPr>
          <w:rFonts w:ascii="Times New Roman" w:hAnsi="Times New Roman"/>
          <w:sz w:val="24"/>
          <w:szCs w:val="24"/>
        </w:rPr>
        <w:t>hvilke</w:t>
      </w:r>
      <w:r w:rsidR="00AE4FE9">
        <w:rPr>
          <w:rFonts w:ascii="Times New Roman" w:hAnsi="Times New Roman"/>
          <w:sz w:val="24"/>
          <w:szCs w:val="24"/>
        </w:rPr>
        <w:t>t</w:t>
      </w:r>
      <w:r w:rsidR="00B948ED">
        <w:rPr>
          <w:rFonts w:ascii="Times New Roman" w:hAnsi="Times New Roman"/>
          <w:sz w:val="24"/>
          <w:szCs w:val="24"/>
        </w:rPr>
        <w:t xml:space="preserve"> er </w:t>
      </w:r>
      <w:r w:rsidR="005605D3">
        <w:rPr>
          <w:rFonts w:ascii="Times New Roman" w:hAnsi="Times New Roman"/>
          <w:sz w:val="24"/>
          <w:szCs w:val="24"/>
        </w:rPr>
        <w:t>782 kroner over budsjettet og nesten 17.000 kroner over</w:t>
      </w:r>
      <w:r w:rsidR="00B948ED">
        <w:rPr>
          <w:rFonts w:ascii="Times New Roman" w:hAnsi="Times New Roman"/>
          <w:sz w:val="24"/>
          <w:szCs w:val="24"/>
        </w:rPr>
        <w:t xml:space="preserve"> prognosen fra desember.</w:t>
      </w:r>
      <w:r w:rsidR="00AC3987">
        <w:rPr>
          <w:rFonts w:ascii="Times New Roman" w:hAnsi="Times New Roman"/>
          <w:sz w:val="24"/>
          <w:szCs w:val="24"/>
        </w:rPr>
        <w:t xml:space="preserve"> De fleste driftspostene er omtrent i tråd med budsjettet</w:t>
      </w:r>
      <w:r w:rsidR="005605D3">
        <w:rPr>
          <w:rFonts w:ascii="Times New Roman" w:hAnsi="Times New Roman"/>
          <w:sz w:val="24"/>
          <w:szCs w:val="24"/>
        </w:rPr>
        <w:t xml:space="preserve"> eller lavere, men vi har noe</w:t>
      </w:r>
      <w:r w:rsidR="009C6030">
        <w:rPr>
          <w:rFonts w:ascii="Times New Roman" w:hAnsi="Times New Roman"/>
          <w:sz w:val="24"/>
          <w:szCs w:val="24"/>
        </w:rPr>
        <w:t>n</w:t>
      </w:r>
      <w:r w:rsidR="005605D3">
        <w:rPr>
          <w:rFonts w:ascii="Times New Roman" w:hAnsi="Times New Roman"/>
          <w:sz w:val="24"/>
          <w:szCs w:val="24"/>
        </w:rPr>
        <w:t xml:space="preserve"> overskridelser på postene «</w:t>
      </w:r>
      <w:r w:rsidR="009C6030">
        <w:rPr>
          <w:rFonts w:ascii="Times New Roman" w:hAnsi="Times New Roman"/>
          <w:sz w:val="24"/>
          <w:szCs w:val="24"/>
        </w:rPr>
        <w:t>k</w:t>
      </w:r>
      <w:r w:rsidR="005605D3">
        <w:rPr>
          <w:rFonts w:ascii="Times New Roman" w:hAnsi="Times New Roman"/>
          <w:sz w:val="24"/>
          <w:szCs w:val="24"/>
        </w:rPr>
        <w:t>ontorkostnader», «</w:t>
      </w:r>
      <w:r w:rsidR="009C6030">
        <w:rPr>
          <w:rFonts w:ascii="Times New Roman" w:hAnsi="Times New Roman"/>
          <w:sz w:val="24"/>
          <w:szCs w:val="24"/>
        </w:rPr>
        <w:t>r</w:t>
      </w:r>
      <w:r w:rsidR="005605D3">
        <w:rPr>
          <w:rFonts w:ascii="Times New Roman" w:hAnsi="Times New Roman"/>
          <w:sz w:val="24"/>
          <w:szCs w:val="24"/>
        </w:rPr>
        <w:t>eisekostnader» og «</w:t>
      </w:r>
      <w:r w:rsidR="009C6030">
        <w:rPr>
          <w:rFonts w:ascii="Times New Roman" w:hAnsi="Times New Roman"/>
          <w:sz w:val="24"/>
          <w:szCs w:val="24"/>
        </w:rPr>
        <w:t>d</w:t>
      </w:r>
      <w:r w:rsidR="005605D3">
        <w:rPr>
          <w:rFonts w:ascii="Times New Roman" w:hAnsi="Times New Roman"/>
          <w:sz w:val="24"/>
          <w:szCs w:val="24"/>
        </w:rPr>
        <w:t>eltakeravgifter/konferanser». For de to sistnevnte postenes vedkommende så ble det nok underbudsjettert i 2017, etter en betydelig reduksjon sammenlignet med tidligere år. Budsjettet er økt noe igjen i 2018.</w:t>
      </w:r>
    </w:p>
    <w:p w14:paraId="593C216B" w14:textId="77777777" w:rsidR="0066147F" w:rsidRDefault="0066147F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2DAE135" w14:textId="77777777" w:rsidR="00B948ED" w:rsidRPr="002C6FF9" w:rsidRDefault="002C6FF9" w:rsidP="00450D3E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Oppsummert</w:t>
      </w:r>
    </w:p>
    <w:p w14:paraId="51FE9834" w14:textId="7423EC05" w:rsidR="00B948ED" w:rsidRDefault="002C6FF9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Driftsregnskapet viser et overskudd på </w:t>
      </w:r>
      <w:r w:rsidR="005605D3">
        <w:rPr>
          <w:rFonts w:ascii="Times New Roman" w:hAnsi="Times New Roman"/>
          <w:sz w:val="24"/>
          <w:szCs w:val="24"/>
        </w:rPr>
        <w:t>582</w:t>
      </w:r>
      <w:r w:rsidR="00AC3987">
        <w:rPr>
          <w:rFonts w:ascii="Times New Roman" w:hAnsi="Times New Roman"/>
          <w:sz w:val="24"/>
          <w:szCs w:val="24"/>
        </w:rPr>
        <w:t>.</w:t>
      </w:r>
      <w:r w:rsidR="005605D3">
        <w:rPr>
          <w:rFonts w:ascii="Times New Roman" w:hAnsi="Times New Roman"/>
          <w:sz w:val="24"/>
          <w:szCs w:val="24"/>
        </w:rPr>
        <w:t>515</w:t>
      </w:r>
      <w:r>
        <w:rPr>
          <w:rFonts w:ascii="Times New Roman" w:hAnsi="Times New Roman"/>
          <w:sz w:val="24"/>
          <w:szCs w:val="24"/>
        </w:rPr>
        <w:t xml:space="preserve"> kroner, hvilket er rundt </w:t>
      </w:r>
      <w:r w:rsidR="005605D3">
        <w:rPr>
          <w:rFonts w:ascii="Times New Roman" w:hAnsi="Times New Roman"/>
          <w:sz w:val="24"/>
          <w:szCs w:val="24"/>
        </w:rPr>
        <w:t>57</w:t>
      </w:r>
      <w:r w:rsidR="00AC39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.000 kroner </w:t>
      </w:r>
      <w:r w:rsidR="00AC3987">
        <w:rPr>
          <w:rFonts w:ascii="Times New Roman" w:hAnsi="Times New Roman"/>
          <w:sz w:val="24"/>
          <w:szCs w:val="24"/>
        </w:rPr>
        <w:t>bedre</w:t>
      </w:r>
      <w:r>
        <w:rPr>
          <w:rFonts w:ascii="Times New Roman" w:hAnsi="Times New Roman"/>
          <w:sz w:val="24"/>
          <w:szCs w:val="24"/>
        </w:rPr>
        <w:t xml:space="preserve"> en</w:t>
      </w:r>
      <w:r w:rsidR="00AC398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budsjettert. Etter finansposter er resultatet </w:t>
      </w:r>
      <w:r w:rsidR="005605D3">
        <w:rPr>
          <w:rFonts w:ascii="Times New Roman" w:hAnsi="Times New Roman"/>
          <w:sz w:val="24"/>
          <w:szCs w:val="24"/>
        </w:rPr>
        <w:t>595.875</w:t>
      </w:r>
      <w:r>
        <w:rPr>
          <w:rFonts w:ascii="Times New Roman" w:hAnsi="Times New Roman"/>
          <w:sz w:val="24"/>
          <w:szCs w:val="24"/>
        </w:rPr>
        <w:t xml:space="preserve"> kroner, hvilke</w:t>
      </w:r>
      <w:r w:rsidR="005605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er </w:t>
      </w:r>
      <w:r w:rsidR="003B7833">
        <w:rPr>
          <w:rFonts w:ascii="Times New Roman" w:hAnsi="Times New Roman"/>
          <w:sz w:val="24"/>
          <w:szCs w:val="24"/>
        </w:rPr>
        <w:t>rundt</w:t>
      </w:r>
      <w:r>
        <w:rPr>
          <w:rFonts w:ascii="Times New Roman" w:hAnsi="Times New Roman"/>
          <w:sz w:val="24"/>
          <w:szCs w:val="24"/>
        </w:rPr>
        <w:t xml:space="preserve"> </w:t>
      </w:r>
      <w:r w:rsidR="003B7833">
        <w:rPr>
          <w:rFonts w:ascii="Times New Roman" w:hAnsi="Times New Roman"/>
          <w:sz w:val="24"/>
          <w:szCs w:val="24"/>
        </w:rPr>
        <w:t>5</w:t>
      </w:r>
      <w:r w:rsidR="005605D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.000</w:t>
      </w:r>
      <w:r w:rsidR="005605D3">
        <w:rPr>
          <w:rFonts w:ascii="Times New Roman" w:hAnsi="Times New Roman"/>
          <w:sz w:val="24"/>
          <w:szCs w:val="24"/>
        </w:rPr>
        <w:t xml:space="preserve"> kroner</w:t>
      </w:r>
      <w:r>
        <w:rPr>
          <w:rFonts w:ascii="Times New Roman" w:hAnsi="Times New Roman"/>
          <w:sz w:val="24"/>
          <w:szCs w:val="24"/>
        </w:rPr>
        <w:t xml:space="preserve"> </w:t>
      </w:r>
      <w:r w:rsidR="003B7833">
        <w:rPr>
          <w:rFonts w:ascii="Times New Roman" w:hAnsi="Times New Roman"/>
          <w:sz w:val="24"/>
          <w:szCs w:val="24"/>
        </w:rPr>
        <w:t>bedre</w:t>
      </w:r>
      <w:r>
        <w:rPr>
          <w:rFonts w:ascii="Times New Roman" w:hAnsi="Times New Roman"/>
          <w:sz w:val="24"/>
          <w:szCs w:val="24"/>
        </w:rPr>
        <w:t xml:space="preserve"> enn budsjettert.</w:t>
      </w:r>
    </w:p>
    <w:p w14:paraId="2F21D6BD" w14:textId="77777777" w:rsidR="002C6FF9" w:rsidRDefault="002C6FF9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037CDF4" w14:textId="77777777" w:rsidR="002C6FF9" w:rsidRDefault="002C6FF9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7E4D372" w14:textId="77777777" w:rsidR="006A3D33" w:rsidRPr="004E33E8" w:rsidRDefault="00305710" w:rsidP="00450D3E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E33E8">
        <w:rPr>
          <w:rFonts w:ascii="Times New Roman" w:hAnsi="Times New Roman"/>
          <w:sz w:val="24"/>
          <w:szCs w:val="24"/>
          <w:u w:val="single"/>
        </w:rPr>
        <w:t>Forslag til vedtak:</w:t>
      </w:r>
    </w:p>
    <w:p w14:paraId="60909308" w14:textId="55C6C9BB" w:rsidR="00305710" w:rsidRDefault="00D60EFB" w:rsidP="00450D3E">
      <w:pPr>
        <w:spacing w:line="276" w:lineRule="auto"/>
        <w:rPr>
          <w:rFonts w:ascii="Times New Roman" w:hAnsi="Times New Roman"/>
          <w:sz w:val="24"/>
          <w:szCs w:val="24"/>
        </w:rPr>
      </w:pPr>
      <w:r w:rsidRPr="004E33E8">
        <w:rPr>
          <w:rFonts w:ascii="Times New Roman" w:hAnsi="Times New Roman"/>
          <w:sz w:val="24"/>
          <w:szCs w:val="24"/>
        </w:rPr>
        <w:t>NRs regnskap for 201</w:t>
      </w:r>
      <w:r w:rsidR="005605D3">
        <w:rPr>
          <w:rFonts w:ascii="Times New Roman" w:hAnsi="Times New Roman"/>
          <w:sz w:val="24"/>
          <w:szCs w:val="24"/>
        </w:rPr>
        <w:t>7</w:t>
      </w:r>
      <w:r w:rsidRPr="004E33E8">
        <w:rPr>
          <w:rFonts w:ascii="Times New Roman" w:hAnsi="Times New Roman"/>
          <w:sz w:val="24"/>
          <w:szCs w:val="24"/>
        </w:rPr>
        <w:t>,</w:t>
      </w:r>
      <w:r w:rsidR="00305710" w:rsidRPr="004E33E8">
        <w:rPr>
          <w:rFonts w:ascii="Times New Roman" w:hAnsi="Times New Roman"/>
          <w:sz w:val="24"/>
          <w:szCs w:val="24"/>
        </w:rPr>
        <w:t xml:space="preserve"> med et resultat </w:t>
      </w:r>
      <w:r w:rsidRPr="004E33E8">
        <w:rPr>
          <w:rFonts w:ascii="Times New Roman" w:hAnsi="Times New Roman"/>
          <w:sz w:val="24"/>
          <w:szCs w:val="24"/>
        </w:rPr>
        <w:t xml:space="preserve">etter finansposter på </w:t>
      </w:r>
      <w:r w:rsidR="005605D3">
        <w:rPr>
          <w:rFonts w:ascii="Times New Roman" w:hAnsi="Times New Roman"/>
          <w:sz w:val="24"/>
          <w:szCs w:val="24"/>
        </w:rPr>
        <w:t>595.875</w:t>
      </w:r>
      <w:r w:rsidR="00AE4FE9" w:rsidRPr="004E33E8">
        <w:rPr>
          <w:rFonts w:ascii="Times New Roman" w:hAnsi="Times New Roman"/>
          <w:sz w:val="24"/>
          <w:szCs w:val="24"/>
        </w:rPr>
        <w:t xml:space="preserve"> kroner</w:t>
      </w:r>
      <w:r w:rsidRPr="004E33E8">
        <w:rPr>
          <w:rFonts w:ascii="Times New Roman" w:hAnsi="Times New Roman"/>
          <w:sz w:val="24"/>
          <w:szCs w:val="24"/>
        </w:rPr>
        <w:t>,</w:t>
      </w:r>
      <w:r w:rsidR="00AE4FE9" w:rsidRPr="004E33E8">
        <w:rPr>
          <w:rFonts w:ascii="Times New Roman" w:hAnsi="Times New Roman"/>
          <w:sz w:val="24"/>
          <w:szCs w:val="24"/>
        </w:rPr>
        <w:t xml:space="preserve"> </w:t>
      </w:r>
      <w:r w:rsidRPr="004E33E8">
        <w:rPr>
          <w:rFonts w:ascii="Times New Roman" w:hAnsi="Times New Roman"/>
          <w:sz w:val="24"/>
          <w:szCs w:val="24"/>
        </w:rPr>
        <w:t>legges fram for</w:t>
      </w:r>
      <w:r w:rsidR="00AE4FE9" w:rsidRPr="004E33E8">
        <w:rPr>
          <w:rFonts w:ascii="Times New Roman" w:hAnsi="Times New Roman"/>
          <w:sz w:val="24"/>
          <w:szCs w:val="24"/>
        </w:rPr>
        <w:t xml:space="preserve"> godkjenning på</w:t>
      </w:r>
      <w:r w:rsidRPr="004E33E8">
        <w:rPr>
          <w:rFonts w:ascii="Times New Roman" w:hAnsi="Times New Roman"/>
          <w:sz w:val="24"/>
          <w:szCs w:val="24"/>
        </w:rPr>
        <w:t xml:space="preserve"> landsmøtet </w:t>
      </w:r>
      <w:r w:rsidR="005605D3">
        <w:rPr>
          <w:rFonts w:ascii="Times New Roman" w:hAnsi="Times New Roman"/>
          <w:sz w:val="24"/>
          <w:szCs w:val="24"/>
        </w:rPr>
        <w:t>2019</w:t>
      </w:r>
      <w:r w:rsidR="00AE4FE9" w:rsidRPr="004E33E8">
        <w:rPr>
          <w:rFonts w:ascii="Times New Roman" w:hAnsi="Times New Roman"/>
          <w:sz w:val="24"/>
          <w:szCs w:val="24"/>
        </w:rPr>
        <w:t>,</w:t>
      </w:r>
      <w:r w:rsidRPr="004E33E8">
        <w:rPr>
          <w:rFonts w:ascii="Times New Roman" w:hAnsi="Times New Roman"/>
          <w:sz w:val="24"/>
          <w:szCs w:val="24"/>
        </w:rPr>
        <w:t xml:space="preserve"> sammen med regnskapet for 20</w:t>
      </w:r>
      <w:r w:rsidR="00AE4FE9" w:rsidRPr="004E33E8">
        <w:rPr>
          <w:rFonts w:ascii="Times New Roman" w:hAnsi="Times New Roman"/>
          <w:sz w:val="24"/>
          <w:szCs w:val="24"/>
        </w:rPr>
        <w:t>1</w:t>
      </w:r>
      <w:r w:rsidR="005605D3">
        <w:rPr>
          <w:rFonts w:ascii="Times New Roman" w:hAnsi="Times New Roman"/>
          <w:sz w:val="24"/>
          <w:szCs w:val="24"/>
        </w:rPr>
        <w:t>8</w:t>
      </w:r>
      <w:r w:rsidR="00AE4FE9" w:rsidRPr="004E33E8">
        <w:rPr>
          <w:rFonts w:ascii="Times New Roman" w:hAnsi="Times New Roman"/>
          <w:sz w:val="24"/>
          <w:szCs w:val="24"/>
        </w:rPr>
        <w:t>.</w:t>
      </w:r>
      <w:r w:rsidRPr="004E33E8">
        <w:rPr>
          <w:rFonts w:ascii="Times New Roman" w:hAnsi="Times New Roman"/>
          <w:sz w:val="24"/>
          <w:szCs w:val="24"/>
        </w:rPr>
        <w:t xml:space="preserve"> </w:t>
      </w:r>
      <w:r w:rsidR="00E22382" w:rsidRPr="004E33E8">
        <w:rPr>
          <w:rFonts w:ascii="Times New Roman" w:hAnsi="Times New Roman"/>
          <w:sz w:val="24"/>
          <w:szCs w:val="24"/>
        </w:rPr>
        <w:t>Av årsresultatet for 201</w:t>
      </w:r>
      <w:r w:rsidR="005605D3">
        <w:rPr>
          <w:rFonts w:ascii="Times New Roman" w:hAnsi="Times New Roman"/>
          <w:sz w:val="24"/>
          <w:szCs w:val="24"/>
        </w:rPr>
        <w:t>7</w:t>
      </w:r>
      <w:r w:rsidR="00E22382" w:rsidRPr="004E33E8">
        <w:rPr>
          <w:rFonts w:ascii="Times New Roman" w:hAnsi="Times New Roman"/>
          <w:sz w:val="24"/>
          <w:szCs w:val="24"/>
        </w:rPr>
        <w:t xml:space="preserve"> overføres </w:t>
      </w:r>
      <w:r w:rsidR="005605D3">
        <w:rPr>
          <w:rFonts w:ascii="Times New Roman" w:hAnsi="Times New Roman"/>
          <w:sz w:val="24"/>
          <w:szCs w:val="24"/>
        </w:rPr>
        <w:t>595.875</w:t>
      </w:r>
      <w:r w:rsidR="00E22382" w:rsidRPr="004E33E8">
        <w:rPr>
          <w:rFonts w:ascii="Times New Roman" w:hAnsi="Times New Roman"/>
          <w:sz w:val="24"/>
          <w:szCs w:val="24"/>
        </w:rPr>
        <w:t xml:space="preserve"> kroner til egenkapitalen. </w:t>
      </w:r>
    </w:p>
    <w:p w14:paraId="256572D9" w14:textId="77777777" w:rsidR="001C3607" w:rsidRDefault="001C3607" w:rsidP="00450D3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FF3B99C" w14:textId="77777777" w:rsidR="00F93D83" w:rsidRDefault="001C3607" w:rsidP="00450D3E">
      <w:pPr>
        <w:spacing w:line="276" w:lineRule="auto"/>
        <w:rPr>
          <w:rFonts w:ascii="Times New Roman" w:hAnsi="Times New Roman"/>
          <w:sz w:val="20"/>
          <w:szCs w:val="20"/>
        </w:rPr>
      </w:pPr>
      <w:r w:rsidRPr="001C3607">
        <w:rPr>
          <w:rFonts w:ascii="Times New Roman" w:hAnsi="Times New Roman"/>
          <w:sz w:val="20"/>
          <w:szCs w:val="20"/>
          <w:u w:val="single"/>
        </w:rPr>
        <w:t>Vedlegg</w:t>
      </w:r>
      <w:r w:rsidRPr="001C3607">
        <w:rPr>
          <w:rFonts w:ascii="Times New Roman" w:hAnsi="Times New Roman"/>
          <w:sz w:val="20"/>
          <w:szCs w:val="20"/>
        </w:rPr>
        <w:t xml:space="preserve">: Regnskapsoppstilling og balanse </w:t>
      </w:r>
    </w:p>
    <w:p w14:paraId="04247A28" w14:textId="77777777" w:rsidR="00F93D83" w:rsidRDefault="00F93D83" w:rsidP="00450D3E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34CB589" w14:textId="63A08724" w:rsidR="00CF16BE" w:rsidRPr="00CF16BE" w:rsidRDefault="00CF16BE">
      <w:pPr>
        <w:rPr>
          <w:rFonts w:ascii="Arial" w:hAnsi="Arial" w:cs="Arial"/>
          <w:sz w:val="24"/>
          <w:szCs w:val="24"/>
        </w:rPr>
      </w:pPr>
      <w:r w:rsidRPr="00CF16BE">
        <w:rPr>
          <w:rFonts w:ascii="Arial" w:hAnsi="Arial" w:cs="Arial"/>
          <w:sz w:val="24"/>
          <w:szCs w:val="24"/>
        </w:rPr>
        <w:t>Resultatregnskap Norsk Redaktørforening 2017</w:t>
      </w:r>
    </w:p>
    <w:p w14:paraId="7DBC5565" w14:textId="77777777" w:rsidR="00CF16BE" w:rsidRDefault="00CF16BE">
      <w:pPr>
        <w:rPr>
          <w:rFonts w:ascii="Times New Roman" w:hAnsi="Times New Roman"/>
          <w:sz w:val="20"/>
          <w:szCs w:val="20"/>
        </w:rPr>
      </w:pPr>
    </w:p>
    <w:tbl>
      <w:tblPr>
        <w:tblW w:w="907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42"/>
        <w:gridCol w:w="1192"/>
        <w:gridCol w:w="1130"/>
        <w:gridCol w:w="1418"/>
        <w:gridCol w:w="1134"/>
        <w:gridCol w:w="948"/>
        <w:gridCol w:w="469"/>
      </w:tblGrid>
      <w:tr w:rsidR="00CF16BE" w:rsidRPr="00BA2F8E" w14:paraId="13CF1CB5" w14:textId="77777777" w:rsidTr="00CF16BE">
        <w:trPr>
          <w:trHeight w:val="6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B2DB15" w14:textId="77777777" w:rsidR="00EC2873" w:rsidRPr="00BA2F8E" w:rsidRDefault="00EC2873" w:rsidP="00EC2873">
            <w:pPr>
              <w:ind w:left="170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8B651B" w14:textId="09322472" w:rsidR="00EC2873" w:rsidRPr="00BA2F8E" w:rsidRDefault="00EC2873" w:rsidP="005B184C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Not</w:t>
            </w:r>
            <w:r w:rsidR="00CF16B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B2AAA8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Virkelig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49AD73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8FD404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Avvik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582FB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Bud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s</w:t>
            </w: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jett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3EB5BF" w14:textId="77777777" w:rsidR="00EC2873" w:rsidRPr="00BA2F8E" w:rsidRDefault="00EC2873" w:rsidP="00EC287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Fjorår</w:t>
            </w:r>
          </w:p>
        </w:tc>
      </w:tr>
      <w:tr w:rsidR="00CF16BE" w:rsidRPr="00BA2F8E" w14:paraId="01AFA68F" w14:textId="77777777" w:rsidTr="00CF16BE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8D07B3" w14:textId="77777777" w:rsidR="00EC2873" w:rsidRPr="00BA2F8E" w:rsidRDefault="00EC2873" w:rsidP="005B184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INNTEKTER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6D1D7E" w14:textId="77777777" w:rsidR="00EC2873" w:rsidRPr="00BA2F8E" w:rsidRDefault="00EC2873" w:rsidP="005B184C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113ED8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31.12.2017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A4B6AA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007B90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911B0F" w14:textId="77777777" w:rsidR="00EC2873" w:rsidRPr="00BA2F8E" w:rsidRDefault="00EC2873" w:rsidP="005B184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C7B676" w14:textId="77777777" w:rsidR="00EC2873" w:rsidRPr="00BA2F8E" w:rsidRDefault="00EC2873" w:rsidP="00EC287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BA2F8E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31.12.2016</w:t>
            </w:r>
          </w:p>
        </w:tc>
      </w:tr>
      <w:tr w:rsidR="00CF16BE" w:rsidRPr="0040114C" w14:paraId="3400C4F0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FAF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E35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5BBB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507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D31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DDC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1B0" w14:textId="77777777" w:rsidR="00EC2873" w:rsidRPr="0040114C" w:rsidRDefault="00EC2873" w:rsidP="005B184C">
            <w:pPr>
              <w:rPr>
                <w:rFonts w:eastAsia="Times New Roman" w:cs="Calibri"/>
                <w:color w:val="000000"/>
                <w:lang w:eastAsia="nb-NO"/>
              </w:rPr>
            </w:pPr>
            <w:r w:rsidRPr="0040114C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</w:tr>
      <w:tr w:rsidR="00CF16BE" w:rsidRPr="0040114C" w14:paraId="5D7A475D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98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277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BC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7 452 650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8E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7 600 000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48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-147 350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ED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7 600 000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F33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7 454 730 </w:t>
            </w:r>
          </w:p>
        </w:tc>
      </w:tr>
      <w:tr w:rsidR="00CF16BE" w:rsidRPr="0040114C" w14:paraId="2FEBD4B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1B2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Adm vederlag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D9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C1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303 313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16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07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153 313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4D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7CD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134 184 </w:t>
            </w:r>
          </w:p>
        </w:tc>
      </w:tr>
      <w:tr w:rsidR="00CF16BE" w:rsidRPr="0040114C" w14:paraId="3177A307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69C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F4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6D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D9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9D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35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36A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</w:tr>
      <w:tr w:rsidR="00CF16BE" w:rsidRPr="0040114C" w14:paraId="46306EE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A02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01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5BB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1 278 005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56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E1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128 005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DF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FD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1 215 505 </w:t>
            </w:r>
          </w:p>
        </w:tc>
      </w:tr>
      <w:tr w:rsidR="00CF16BE" w:rsidRPr="0040114C" w14:paraId="10905E6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A28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Møteinntekter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C2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8C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811 286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D3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850 000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10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-38 714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F70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850 000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4A0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1 220 616 </w:t>
            </w:r>
          </w:p>
        </w:tc>
      </w:tr>
      <w:tr w:rsidR="00CF16BE" w:rsidRPr="0040114C" w14:paraId="282193F9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882E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77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AE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89 850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69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B9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64 850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69A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95A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103 820 </w:t>
            </w:r>
          </w:p>
        </w:tc>
      </w:tr>
      <w:tr w:rsidR="00CF16BE" w:rsidRPr="0040114C" w14:paraId="2B845855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368CBA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C18A2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DE823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10 165 104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83655B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10 005 000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83303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160 104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DE571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10 005 000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2BF2F3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10 358 855 </w:t>
            </w:r>
          </w:p>
        </w:tc>
      </w:tr>
      <w:tr w:rsidR="00CF16BE" w:rsidRPr="0040114C" w14:paraId="07FD71A0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3A2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DA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B8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73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584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73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6181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098A4AA9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FD9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E9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62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1EC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04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90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C1A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</w:tr>
      <w:tr w:rsidR="00CF16BE" w:rsidRPr="0040114C" w14:paraId="3606528B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520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B2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86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1 017 600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5D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54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-32 400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E2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E4C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1 026 000 </w:t>
            </w:r>
          </w:p>
        </w:tc>
      </w:tr>
      <w:tr w:rsidR="00CF16BE" w:rsidRPr="0040114C" w14:paraId="71EDADD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EC8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81C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8F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57 600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6B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0A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17 600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E9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5E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37 800 </w:t>
            </w:r>
          </w:p>
        </w:tc>
      </w:tr>
      <w:tr w:rsidR="00CF16BE" w:rsidRPr="0040114C" w14:paraId="4F519B49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3520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7A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E8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84 615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4F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BC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14 615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3C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5B3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32 625 </w:t>
            </w:r>
          </w:p>
        </w:tc>
      </w:tr>
      <w:tr w:rsidR="00CF16BE" w:rsidRPr="0040114C" w14:paraId="754BCF2D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F6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Tilltak i handlingsplanen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14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EA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186 806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EF6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2B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36 806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C9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DB0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142 898 </w:t>
            </w:r>
          </w:p>
        </w:tc>
      </w:tr>
      <w:tr w:rsidR="00CF16BE" w:rsidRPr="0040114C" w14:paraId="39E5E87F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F42B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B8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79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61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A0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53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19B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5 770 </w:t>
            </w:r>
          </w:p>
        </w:tc>
      </w:tr>
      <w:tr w:rsidR="00CF16BE" w:rsidRPr="0040114C" w14:paraId="201D1135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B0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BA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EA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330 403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06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0D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30 403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C0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406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676 732 </w:t>
            </w:r>
          </w:p>
        </w:tc>
      </w:tr>
      <w:tr w:rsidR="00CF16BE" w:rsidRPr="0040114C" w14:paraId="5F95D030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EBB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28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B6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306 114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AAB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93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-93 886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7C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400 000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92C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473 204 </w:t>
            </w:r>
          </w:p>
        </w:tc>
      </w:tr>
      <w:tr w:rsidR="00CF16BE" w:rsidRPr="0040114C" w14:paraId="7CB60BD9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E29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23E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F1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347 920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F1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5A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-2 080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62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91A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447 194 </w:t>
            </w:r>
          </w:p>
        </w:tc>
      </w:tr>
      <w:tr w:rsidR="00CF16BE" w:rsidRPr="0040114C" w14:paraId="24A3BAFA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920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63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D7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16 406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F5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83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1 406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A8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1E8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11 953 </w:t>
            </w:r>
          </w:p>
        </w:tc>
      </w:tr>
      <w:tr w:rsidR="00CF16BE" w:rsidRPr="0040114C" w14:paraId="6EF61311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DD6B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F1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C8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19 805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F2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41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9 805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24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C36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CF16BE" w:rsidRPr="0040114C" w14:paraId="32B88B64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254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3C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68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11 351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B6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AD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-3 649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0C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4B4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28 566 </w:t>
            </w:r>
          </w:p>
        </w:tc>
      </w:tr>
      <w:tr w:rsidR="00CF16BE" w:rsidRPr="0040114C" w14:paraId="0B4F176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889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E7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C7C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54 359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66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94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-45 641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4C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7C4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155 303 </w:t>
            </w:r>
          </w:p>
        </w:tc>
      </w:tr>
      <w:tr w:rsidR="00CF16BE" w:rsidRPr="0040114C" w14:paraId="22ABEAD3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185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0F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58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4 052 979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B6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4 120 000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BF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-67 021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ECF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4 120 000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98C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4 658 045 </w:t>
            </w:r>
          </w:p>
        </w:tc>
      </w:tr>
      <w:tr w:rsidR="00CF16BE" w:rsidRPr="0040114C" w14:paraId="23043CF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7C3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5C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72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D5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F5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8D0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7F0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207C609D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FB5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17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53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3 012 652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F4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3 360 000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B6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-347 348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C2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3 360 000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0D5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3 012 791 </w:t>
            </w:r>
          </w:p>
        </w:tc>
      </w:tr>
      <w:tr w:rsidR="00CF16BE" w:rsidRPr="0040114C" w14:paraId="3BEAA1FB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A94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DE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DE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957 982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EF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965 000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A9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-7 018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03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965 000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14B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818 199 </w:t>
            </w:r>
          </w:p>
        </w:tc>
      </w:tr>
      <w:tr w:rsidR="00CF16BE" w:rsidRPr="0040114C" w14:paraId="0A6A8F99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E10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8A8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0E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54 020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AE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D0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-10 980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C0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188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65 592 </w:t>
            </w:r>
          </w:p>
        </w:tc>
      </w:tr>
      <w:tr w:rsidR="00CF16BE" w:rsidRPr="0040114C" w14:paraId="4897688F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51C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Refunderte adm.kostnader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34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AA1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-195 326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3AB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-220 000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F1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24 674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B39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-220 000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FDF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-211 992 </w:t>
            </w:r>
          </w:p>
        </w:tc>
      </w:tr>
      <w:tr w:rsidR="00CF16BE" w:rsidRPr="0040114C" w14:paraId="7AFC4903" w14:textId="77777777" w:rsidTr="005B184C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3931B0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D80B6A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DEC201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3 829 328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697590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4 170 000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73F89E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-340 672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B9A68B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4 170 000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DB1043C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3 684 590 </w:t>
            </w:r>
          </w:p>
        </w:tc>
      </w:tr>
      <w:tr w:rsidR="00CF16BE" w:rsidRPr="0040114C" w14:paraId="5594332A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E26A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CC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68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9BC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96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D2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D60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50A9F1E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38D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44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94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127 863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FB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05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2 863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5C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72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123 473 </w:t>
            </w:r>
          </w:p>
        </w:tc>
      </w:tr>
      <w:tr w:rsidR="00CF16BE" w:rsidRPr="0040114C" w14:paraId="3383FE9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51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4B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EA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666 934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62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675 000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E01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-8 066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74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675 000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42E4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673 844 </w:t>
            </w:r>
          </w:p>
        </w:tc>
      </w:tr>
      <w:tr w:rsidR="00CF16BE" w:rsidRPr="0040114C" w14:paraId="474ABA0F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7EC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563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CB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11 551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DE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A6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-18 449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6D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962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27 166 </w:t>
            </w:r>
          </w:p>
        </w:tc>
      </w:tr>
      <w:tr w:rsidR="00CF16BE" w:rsidRPr="0040114C" w14:paraId="759294C4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9E7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E5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4A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260 661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7B9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91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15 661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74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C0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275 264 </w:t>
            </w:r>
          </w:p>
        </w:tc>
      </w:tr>
      <w:tr w:rsidR="00CF16BE" w:rsidRPr="0040114C" w14:paraId="5781A3B4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1AF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016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E0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241 305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7F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205 000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51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36 305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97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205 000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9DA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223 018 </w:t>
            </w:r>
          </w:p>
        </w:tc>
      </w:tr>
      <w:tr w:rsidR="00CF16BE" w:rsidRPr="0040114C" w14:paraId="60D78B11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37C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F8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895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49 696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1B3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8F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-30 304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8E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C77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68 374 </w:t>
            </w:r>
          </w:p>
        </w:tc>
      </w:tr>
      <w:tr w:rsidR="00CF16BE" w:rsidRPr="0040114C" w14:paraId="3A326ABF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033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80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02F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53 970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166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CA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-16 030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D0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3E2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64 676 </w:t>
            </w:r>
          </w:p>
        </w:tc>
      </w:tr>
      <w:tr w:rsidR="00CF16BE" w:rsidRPr="0040114C" w14:paraId="01D49D51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C77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B3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2F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9 279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BC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35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-721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A52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27B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26 602 </w:t>
            </w:r>
          </w:p>
        </w:tc>
      </w:tr>
      <w:tr w:rsidR="00CF16BE" w:rsidRPr="0040114C" w14:paraId="21D579DD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DBA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65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C6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134 892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758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20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34 892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BD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79A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82 880 </w:t>
            </w:r>
          </w:p>
        </w:tc>
      </w:tr>
      <w:tr w:rsidR="00CF16BE" w:rsidRPr="0040114C" w14:paraId="3B47724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423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Deltakeravgift / konferanser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5D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81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61 874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4E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18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11 874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ED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DD7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48 556 </w:t>
            </w:r>
          </w:p>
        </w:tc>
      </w:tr>
      <w:tr w:rsidR="00CF16BE" w:rsidRPr="0040114C" w14:paraId="1FE5FA67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DCF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44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43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52 634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AE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4D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2 634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60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803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82 336 </w:t>
            </w:r>
          </w:p>
        </w:tc>
      </w:tr>
      <w:tr w:rsidR="00CF16BE" w:rsidRPr="0040114C" w14:paraId="762EFCB6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6B1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3C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30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7 220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10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7 500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161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-280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8A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7 500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684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CF16BE" w:rsidRPr="0040114C" w14:paraId="3322B62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E94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C0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A9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8 801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6F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16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6 801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8F7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D70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9 244 </w:t>
            </w:r>
          </w:p>
        </w:tc>
      </w:tr>
      <w:tr w:rsidR="00CF16BE" w:rsidRPr="0040114C" w14:paraId="19374B17" w14:textId="77777777" w:rsidTr="00CF16BE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506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CB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EA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13 602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65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3C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-36 398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D2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FE7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-42 968 </w:t>
            </w:r>
          </w:p>
        </w:tc>
      </w:tr>
      <w:tr w:rsidR="00CF16BE" w:rsidRPr="0040114C" w14:paraId="74DA33BB" w14:textId="77777777" w:rsidTr="005B184C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94862BB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90094A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654645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1 700 282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E9995D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1 699 500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515990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       782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89D094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1 699 500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B7A7B55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1 662 465 </w:t>
            </w:r>
          </w:p>
        </w:tc>
      </w:tr>
      <w:tr w:rsidR="00CF16BE" w:rsidRPr="0040114C" w14:paraId="09350841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48D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DCB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75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D1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D0F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AF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3D57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49EF4FA7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8A4A54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E52528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33FE7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9 582 589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B6391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9 989 500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B98FC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-406 911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CDD6B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9 989 500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9B39888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10 005 100 </w:t>
            </w:r>
          </w:p>
        </w:tc>
      </w:tr>
      <w:tr w:rsidR="00CF16BE" w:rsidRPr="0040114C" w14:paraId="737B0BC8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6FC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124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3AB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582 515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199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 15 500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98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567 015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08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 15 500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6B6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353 755 </w:t>
            </w:r>
          </w:p>
        </w:tc>
      </w:tr>
      <w:tr w:rsidR="00CF16BE" w:rsidRPr="0040114C" w14:paraId="1FF0FB87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56D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47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36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AE8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8B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80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9A4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31DE3F3A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070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3F2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D1D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14 904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EF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490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-60 096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6A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7A1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18 955 </w:t>
            </w:r>
          </w:p>
        </w:tc>
      </w:tr>
      <w:tr w:rsidR="00CF16BE" w:rsidRPr="0040114C" w14:paraId="26047FE5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4F57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A14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A6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1 544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66C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A5F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-3 456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FE3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5 000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4FC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1 691 </w:t>
            </w:r>
          </w:p>
        </w:tc>
      </w:tr>
      <w:tr w:rsidR="00CF16BE" w:rsidRPr="0040114C" w14:paraId="4D558C22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E73" w14:textId="77777777" w:rsidR="00EC2873" w:rsidRPr="0040114C" w:rsidRDefault="00EC2873" w:rsidP="005B184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57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AFE6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795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E7A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5DE" w14:textId="77777777" w:rsidR="00EC2873" w:rsidRPr="0040114C" w:rsidRDefault="00EC2873" w:rsidP="005B184C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6E6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CF16BE" w:rsidRPr="0040114C" w14:paraId="58E36634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3D6FF0D" w14:textId="6AE0DFF8" w:rsidR="00EC2873" w:rsidRPr="0040114C" w:rsidRDefault="00EC2873" w:rsidP="00EC287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A036C1D" w14:textId="4FFD274D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0577EEF" w14:textId="3DD998B4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595 875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7AD6DF7" w14:textId="5FC40229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 85 500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3608015" w14:textId="7D93D7C0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510 375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81EA04A" w14:textId="2BC8E06E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85 500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9F7F7A0" w14:textId="5456A338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40114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371 019 </w:t>
            </w:r>
          </w:p>
        </w:tc>
      </w:tr>
      <w:tr w:rsidR="00CF16BE" w:rsidRPr="0040114C" w14:paraId="70FF63E5" w14:textId="77777777" w:rsidTr="00CF16BE">
        <w:trPr>
          <w:trHeight w:val="2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FA1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5C5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579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18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32E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E972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D2B" w14:textId="77777777" w:rsidR="00EC2873" w:rsidRPr="0040114C" w:rsidRDefault="00EC2873" w:rsidP="00EC2873">
            <w:pPr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nb-NO"/>
              </w:rPr>
            </w:pPr>
          </w:p>
        </w:tc>
      </w:tr>
    </w:tbl>
    <w:p w14:paraId="06828DAC" w14:textId="0DEF7E67" w:rsidR="00F93D83" w:rsidRDefault="00F93D83">
      <w:pPr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08"/>
        <w:gridCol w:w="1418"/>
        <w:gridCol w:w="1276"/>
        <w:gridCol w:w="1417"/>
        <w:gridCol w:w="1418"/>
      </w:tblGrid>
      <w:tr w:rsidR="00CF16BE" w:rsidRPr="00CF16BE" w14:paraId="2D9D807A" w14:textId="77777777" w:rsidTr="00CF16BE">
        <w:trPr>
          <w:trHeight w:hRule="exact" w:val="284"/>
        </w:trPr>
        <w:tc>
          <w:tcPr>
            <w:tcW w:w="9493" w:type="dxa"/>
            <w:gridSpan w:val="6"/>
            <w:shd w:val="clear" w:color="auto" w:fill="auto"/>
            <w:noWrap/>
            <w:vAlign w:val="bottom"/>
            <w:hideMark/>
          </w:tcPr>
          <w:p w14:paraId="4F7A9B1D" w14:textId="7A710C08" w:rsidR="00CF16BE" w:rsidRPr="00CF16BE" w:rsidRDefault="00CF16BE" w:rsidP="00CF16B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bookmarkStart w:id="0" w:name="_GoBack"/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Norsk Redaktørforening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– balanse 2014-2017</w:t>
            </w:r>
          </w:p>
        </w:tc>
      </w:tr>
      <w:bookmarkEnd w:id="0"/>
      <w:tr w:rsidR="00CF16BE" w:rsidRPr="00CF16BE" w14:paraId="05640305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3FD391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BALANSE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84434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Noter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15FAD8" w14:textId="77777777" w:rsidR="00CF16BE" w:rsidRPr="00CF16BE" w:rsidRDefault="00CF16BE" w:rsidP="00CF16B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31.12.2017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51A90" w14:textId="77777777" w:rsidR="00CF16BE" w:rsidRPr="00CF16BE" w:rsidRDefault="00CF16BE" w:rsidP="00CF16B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190E4F" w14:textId="77777777" w:rsidR="00CF16BE" w:rsidRPr="00CF16BE" w:rsidRDefault="00CF16BE" w:rsidP="00CF16B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46BA41" w14:textId="77777777" w:rsidR="00CF16BE" w:rsidRPr="00CF16BE" w:rsidRDefault="00CF16BE" w:rsidP="00CF16B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2014</w:t>
            </w:r>
          </w:p>
        </w:tc>
      </w:tr>
      <w:tr w:rsidR="00CF16BE" w:rsidRPr="00CF16BE" w14:paraId="03ED2EE4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82E381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Eiendeler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2AB26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0C0B5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1BD93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6970F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0A1D4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2E9E7FDD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33DA069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Anleggsmidler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3FC711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C4B8B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FCAC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4417D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2F56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2C4B915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19C014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Kunst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E9B8E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67C4B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12 500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2AD4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12 500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E158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12 500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C66E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12 500 </w:t>
            </w:r>
          </w:p>
        </w:tc>
      </w:tr>
      <w:tr w:rsidR="00CF16BE" w:rsidRPr="00CF16BE" w14:paraId="044ED2ED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FFD3C8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Datautstyr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09236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EE33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64 362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80219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41 785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96029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39 221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EF099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22 893 </w:t>
            </w:r>
          </w:p>
        </w:tc>
      </w:tr>
      <w:tr w:rsidR="00CF16BE" w:rsidRPr="00CF16BE" w14:paraId="22245001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EFE7A01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Webutvikling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9B632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7095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114 487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6DF6F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215 992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A9447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172 039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B3788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51 837 </w:t>
            </w:r>
          </w:p>
        </w:tc>
      </w:tr>
      <w:tr w:rsidR="00CF16BE" w:rsidRPr="00CF16BE" w14:paraId="1FF717D7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61DF23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Sum anleggsmidler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E2A04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C357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 191 349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ADB8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270 277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93F18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 223 760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6B193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   87 230 </w:t>
            </w:r>
          </w:p>
        </w:tc>
      </w:tr>
      <w:tr w:rsidR="00CF16BE" w:rsidRPr="00CF16BE" w14:paraId="222D227C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55A58DD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0FF43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19E62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075F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DB276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27E1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60AFCC10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890C3D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Omløpsmidler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B6E6C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C1276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12827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23474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3206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F9E5C0D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334732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Kundefordringer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337EBC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91AFA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204 163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CDD8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157 738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B7CE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114 351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3833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91 350 </w:t>
            </w:r>
          </w:p>
        </w:tc>
      </w:tr>
      <w:tr w:rsidR="00CF16BE" w:rsidRPr="00CF16BE" w14:paraId="02D445E7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3E54F5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Andre fordringer/forskudd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4E2D1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5CA5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51 924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CF46E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4 626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E04F6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23 615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531EE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3 856 </w:t>
            </w:r>
          </w:p>
        </w:tc>
      </w:tr>
      <w:tr w:rsidR="00CF16BE" w:rsidRPr="00CF16BE" w14:paraId="318E16D0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48A702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Forskuddsbetalte kostnader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FE7691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7920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34 893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4B2D2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31 998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10E7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28 012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657D8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273 046 </w:t>
            </w:r>
          </w:p>
        </w:tc>
      </w:tr>
      <w:tr w:rsidR="00CF16BE" w:rsidRPr="00CF16BE" w14:paraId="275DE700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30DF0D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Mellomregning PS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DC782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FAAED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3125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6 750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2E34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6 750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C5EE9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13 625 </w:t>
            </w:r>
          </w:p>
        </w:tc>
      </w:tr>
      <w:tr w:rsidR="00CF16BE" w:rsidRPr="00CF16BE" w14:paraId="04DF98C3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873B8ED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Mellomrening  VF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8A3256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A101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073B8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40 740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84BF8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50 733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585E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40 740 </w:t>
            </w:r>
          </w:p>
        </w:tc>
      </w:tr>
      <w:tr w:rsidR="00CF16BE" w:rsidRPr="00CF16BE" w14:paraId="4D3AEF20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0F42525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Mellomregning kopivederlag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41A7A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CA6A4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5BAB6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CBD85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 -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37BC2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  <w:tr w:rsidR="00CF16BE" w:rsidRPr="00CF16BE" w14:paraId="7320541D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8F4843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Særvilkår / verdipapirer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7818A9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AEEE2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5 200 054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F2BDC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4 480 664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669DC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3 168 657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FE77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3 457 755 </w:t>
            </w:r>
          </w:p>
        </w:tc>
      </w:tr>
      <w:tr w:rsidR="00CF16BE" w:rsidRPr="00CF16BE" w14:paraId="4883D9DB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A47D51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Depositumskonto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C6DD9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0154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621 800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DA88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603 973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6109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603 974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564AE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603 974 </w:t>
            </w:r>
          </w:p>
        </w:tc>
      </w:tr>
      <w:tr w:rsidR="00CF16BE" w:rsidRPr="00CF16BE" w14:paraId="1944ACCA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54975E9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Kasse / bank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3D2CD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DC24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434 781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914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459 572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CC442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1 470 170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608E6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958 572 </w:t>
            </w:r>
          </w:p>
        </w:tc>
      </w:tr>
      <w:tr w:rsidR="00CF16BE" w:rsidRPr="00CF16BE" w14:paraId="565CB3E4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AA575E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Sum omløpsmidler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A92BC9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01841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6 547 615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34C6B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5 786 061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B9017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5 466 262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7A5D5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5 442 918 </w:t>
            </w:r>
          </w:p>
        </w:tc>
      </w:tr>
      <w:tr w:rsidR="00CF16BE" w:rsidRPr="00CF16BE" w14:paraId="0E3DE848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D6E1C60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4373F4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C432C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DBEB2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D93DA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1F7E5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0E3EE5A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804D98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Sum eiendeler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1B471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8459F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6 738 964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CFDC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6 056 338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207DF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5 690 022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8DD2F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5 530 148 </w:t>
            </w:r>
          </w:p>
        </w:tc>
      </w:tr>
      <w:tr w:rsidR="00CF16BE" w:rsidRPr="00CF16BE" w14:paraId="1142A1A7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33BE69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0AC88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BB1B5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14929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8E80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B06D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48F3EDFC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4404FF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Gjeld / Egenkapital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47CD4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9C13B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DEA7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07AE0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ACB04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BA142F8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0FDB3FD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EEC9C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BF9B1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AE1D0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9D1EB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B025A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E12C75A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49312FC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Egenkapital pr 01.01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4C472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529BE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5 309 530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2D21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4 938 511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B3986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4 870 017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EA502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4 639 669 </w:t>
            </w:r>
          </w:p>
        </w:tc>
      </w:tr>
      <w:tr w:rsidR="00CF16BE" w:rsidRPr="00CF16BE" w14:paraId="7852CC7D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176D56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Årets resultat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E4FD0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BA2A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595 875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BA17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371 019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DECA1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68 494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BCF7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230 348 </w:t>
            </w:r>
          </w:p>
        </w:tc>
      </w:tr>
      <w:tr w:rsidR="00CF16BE" w:rsidRPr="00CF16BE" w14:paraId="5D42E352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B7BC376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Egenkapital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0636A4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B3B4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5 905 405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EA70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5 309 530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EB92C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4 938 511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6A120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4 870 017 </w:t>
            </w:r>
          </w:p>
        </w:tc>
      </w:tr>
      <w:tr w:rsidR="00CF16BE" w:rsidRPr="00CF16BE" w14:paraId="711DD02B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A17AAE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03B390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C60C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94E0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62D13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01C63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7F6DC064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FC7F78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Langsiktig gjeld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70FF31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FAD743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104B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BF0FE3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 -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D159C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</w:tr>
      <w:tr w:rsidR="00CF16BE" w:rsidRPr="00CF16BE" w14:paraId="05CD4BDB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07AB6C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Leverandørgjeld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C2292F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B2E1D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157 696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DDE93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90 850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A08A7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100 622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CC1A3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41 799 </w:t>
            </w:r>
          </w:p>
        </w:tc>
      </w:tr>
      <w:tr w:rsidR="00CF16BE" w:rsidRPr="00CF16BE" w14:paraId="45E56643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FE3C88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Kortsiktig gjeld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90D72E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9BEE6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124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4E3F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48 600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79732F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1 039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4BBC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16 075 </w:t>
            </w:r>
          </w:p>
        </w:tc>
      </w:tr>
      <w:tr w:rsidR="00CF16BE" w:rsidRPr="00CF16BE" w14:paraId="7DBA2009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C90FA9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Mellomregning OR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E991E6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EFCC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61 564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2FD3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-1 079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8C19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40 703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7371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30 850 </w:t>
            </w:r>
          </w:p>
        </w:tc>
      </w:tr>
      <w:tr w:rsidR="00CF16BE" w:rsidRPr="00CF16BE" w14:paraId="7D5049F7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86BE491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Mellomregning kopivederlag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2C6CB7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535A6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BF3A6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2FF18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 -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1DB2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</w:tr>
      <w:tr w:rsidR="00CF16BE" w:rsidRPr="00CF16BE" w14:paraId="0974D4E7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C3285C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Skyldig skattetrekk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43500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103F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153 224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E2E1A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151 053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F73D99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156 031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02FB7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150 449 </w:t>
            </w:r>
          </w:p>
        </w:tc>
      </w:tr>
      <w:tr w:rsidR="00CF16BE" w:rsidRPr="00CF16BE" w14:paraId="416F6C05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21853E5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Offentlige avgifter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5757F3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5E45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129 921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68A8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131 331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1CD5C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127 676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1F562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118 699 </w:t>
            </w:r>
          </w:p>
        </w:tc>
      </w:tr>
      <w:tr w:rsidR="00CF16BE" w:rsidRPr="00CF16BE" w14:paraId="58B992C9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A8FD73A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Avsatte feriepenger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40BCFD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F057B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331 030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23C2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326 053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E9FFA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325 438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027E7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302 259 </w:t>
            </w:r>
          </w:p>
        </w:tc>
      </w:tr>
      <w:tr w:rsidR="00CF16BE" w:rsidRPr="00CF16BE" w14:paraId="17D17278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2410BD9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>Periodiserte kontingenter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70741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21DA7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C7C24E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75FC76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 -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2F157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nb-NO"/>
              </w:rPr>
              <w:t xml:space="preserve">                  -   </w:t>
            </w:r>
          </w:p>
        </w:tc>
      </w:tr>
      <w:tr w:rsidR="00CF16BE" w:rsidRPr="00CF16BE" w14:paraId="5578DD25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9213398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Sum gjeld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C52B6D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1FF34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 833 559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C5B0B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746 808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19D505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 751 509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DE78C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  660 131 </w:t>
            </w:r>
          </w:p>
        </w:tc>
      </w:tr>
      <w:tr w:rsidR="00CF16BE" w:rsidRPr="00CF16BE" w14:paraId="5F909ADE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8C8B4E0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CFC672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FCF1C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474D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9397F4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92D6D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nb-NO"/>
              </w:rPr>
            </w:pPr>
          </w:p>
        </w:tc>
      </w:tr>
      <w:tr w:rsidR="00CF16BE" w:rsidRPr="00CF16BE" w14:paraId="023F6371" w14:textId="77777777" w:rsidTr="00CF16BE">
        <w:trPr>
          <w:trHeight w:hRule="exact" w:val="22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4992228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Sum gjeld og egenkapital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441DEB" w14:textId="77777777" w:rsidR="00CF16BE" w:rsidRPr="00CF16BE" w:rsidRDefault="00CF16BE" w:rsidP="00CF16B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3C77AA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6 738 964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C7B6E8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6 056 338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0CFC1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 5 690 020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EEE120" w14:textId="77777777" w:rsidR="00CF16BE" w:rsidRPr="00CF16BE" w:rsidRDefault="00CF16BE" w:rsidP="00CF16B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F16B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 5 530 148 </w:t>
            </w:r>
          </w:p>
        </w:tc>
      </w:tr>
    </w:tbl>
    <w:p w14:paraId="4A3FF063" w14:textId="11F5EC05" w:rsidR="00CF16BE" w:rsidRDefault="00CF16BE">
      <w:pPr>
        <w:rPr>
          <w:rFonts w:ascii="Times New Roman" w:hAnsi="Times New Roman"/>
          <w:sz w:val="20"/>
          <w:szCs w:val="20"/>
        </w:rPr>
      </w:pPr>
    </w:p>
    <w:p w14:paraId="226C3E6E" w14:textId="77777777" w:rsidR="00CF16BE" w:rsidRDefault="00CF16BE">
      <w:pPr>
        <w:rPr>
          <w:rFonts w:ascii="Times New Roman" w:hAnsi="Times New Roman"/>
          <w:sz w:val="20"/>
          <w:szCs w:val="20"/>
        </w:rPr>
      </w:pPr>
    </w:p>
    <w:p w14:paraId="5981B7E7" w14:textId="501F2E35" w:rsidR="00F93D83" w:rsidRPr="00BB6353" w:rsidRDefault="005605D3" w:rsidP="00F93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Bergen, 1. mai</w:t>
      </w:r>
      <w:r w:rsidR="00F93D83" w:rsidRPr="00BB6353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</w:p>
    <w:p w14:paraId="60791080" w14:textId="77777777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</w:p>
    <w:p w14:paraId="1F7AFACF" w14:textId="2978A4AA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1451D52B" w14:textId="77777777" w:rsidR="00373E7E" w:rsidRPr="00BB6353" w:rsidRDefault="00373E7E" w:rsidP="00F93D83">
      <w:pPr>
        <w:rPr>
          <w:rFonts w:ascii="Arial" w:hAnsi="Arial" w:cs="Arial"/>
          <w:sz w:val="20"/>
          <w:szCs w:val="20"/>
        </w:rPr>
      </w:pPr>
    </w:p>
    <w:p w14:paraId="4BF497C9" w14:textId="7A48683D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46D3E0F9" w14:textId="77777777" w:rsidR="005605D3" w:rsidRPr="00BB6353" w:rsidRDefault="005605D3" w:rsidP="00F93D83">
      <w:pPr>
        <w:rPr>
          <w:rFonts w:ascii="Arial" w:hAnsi="Arial" w:cs="Arial"/>
          <w:sz w:val="20"/>
          <w:szCs w:val="20"/>
        </w:rPr>
      </w:pPr>
    </w:p>
    <w:p w14:paraId="016FE9E4" w14:textId="0EFF7ABB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Harald Stanghelle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0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Hanna Relling Berg</w:t>
      </w:r>
      <w:r w:rsidRPr="00BB6353">
        <w:rPr>
          <w:rFonts w:ascii="Arial" w:hAnsi="Arial" w:cs="Arial"/>
          <w:sz w:val="20"/>
          <w:szCs w:val="20"/>
        </w:rPr>
        <w:tab/>
      </w:r>
      <w:r w:rsidR="005605D3">
        <w:rPr>
          <w:rFonts w:ascii="Arial" w:hAnsi="Arial" w:cs="Arial"/>
          <w:sz w:val="20"/>
          <w:szCs w:val="20"/>
        </w:rPr>
        <w:t xml:space="preserve">                </w:t>
      </w:r>
      <w:r w:rsidR="009974AF">
        <w:rPr>
          <w:rFonts w:ascii="Arial" w:hAnsi="Arial" w:cs="Arial"/>
          <w:sz w:val="20"/>
          <w:szCs w:val="20"/>
        </w:rPr>
        <w:t>Jan-Eirik Hanssen</w:t>
      </w:r>
      <w:r w:rsidRPr="00BB6353">
        <w:rPr>
          <w:rFonts w:ascii="Arial" w:hAnsi="Arial" w:cs="Arial"/>
          <w:sz w:val="20"/>
          <w:szCs w:val="20"/>
        </w:rPr>
        <w:tab/>
      </w:r>
    </w:p>
    <w:p w14:paraId="3D6C8A93" w14:textId="6DE9CE1B" w:rsidR="00F93D83" w:rsidRPr="00BB635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 xml:space="preserve">(styrets leder)                                   </w:t>
      </w:r>
      <w:r w:rsidR="00560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B6353">
        <w:rPr>
          <w:rFonts w:ascii="Arial" w:hAnsi="Arial" w:cs="Arial"/>
          <w:sz w:val="20"/>
          <w:szCs w:val="20"/>
        </w:rPr>
        <w:t xml:space="preserve"> (nestleder)</w:t>
      </w:r>
    </w:p>
    <w:p w14:paraId="080CEC78" w14:textId="7A140AA8" w:rsidR="00F93D83" w:rsidRPr="00BB6353" w:rsidRDefault="005605D3" w:rsidP="00F93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D865F9" w14:textId="226B8A12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129C97E7" w14:textId="77777777" w:rsidR="00373E7E" w:rsidRPr="00BB6353" w:rsidRDefault="00373E7E" w:rsidP="00F93D83">
      <w:pPr>
        <w:rPr>
          <w:rFonts w:ascii="Arial" w:hAnsi="Arial" w:cs="Arial"/>
          <w:sz w:val="20"/>
          <w:szCs w:val="20"/>
        </w:rPr>
      </w:pPr>
    </w:p>
    <w:p w14:paraId="72CCEC01" w14:textId="2BB3FFD1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3369BB6F" w14:textId="77777777" w:rsidR="005605D3" w:rsidRPr="00BB6353" w:rsidRDefault="005605D3" w:rsidP="00F93D83">
      <w:pPr>
        <w:rPr>
          <w:rFonts w:ascii="Arial" w:hAnsi="Arial" w:cs="Arial"/>
          <w:sz w:val="20"/>
          <w:szCs w:val="20"/>
        </w:rPr>
      </w:pPr>
    </w:p>
    <w:p w14:paraId="3A86C798" w14:textId="524BC3BD" w:rsidR="00F93D83" w:rsidRDefault="00F93D83" w:rsidP="00F93D83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>Britt Sofie Hestvik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560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BB6353">
        <w:rPr>
          <w:rFonts w:ascii="Arial" w:hAnsi="Arial" w:cs="Arial"/>
          <w:sz w:val="20"/>
          <w:szCs w:val="20"/>
        </w:rPr>
        <w:t>Kjersti Mo</w:t>
      </w:r>
      <w:r w:rsidRPr="00BB63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="009974AF">
        <w:rPr>
          <w:rFonts w:ascii="Arial" w:hAnsi="Arial" w:cs="Arial"/>
          <w:sz w:val="20"/>
          <w:szCs w:val="20"/>
        </w:rPr>
        <w:t xml:space="preserve">    </w:t>
      </w:r>
      <w:r w:rsidR="005605D3">
        <w:rPr>
          <w:rFonts w:ascii="Arial" w:hAnsi="Arial" w:cs="Arial"/>
          <w:sz w:val="20"/>
          <w:szCs w:val="20"/>
        </w:rPr>
        <w:t xml:space="preserve">            </w:t>
      </w:r>
      <w:r w:rsidR="009974AF">
        <w:rPr>
          <w:rFonts w:ascii="Arial" w:hAnsi="Arial" w:cs="Arial"/>
          <w:sz w:val="20"/>
          <w:szCs w:val="20"/>
        </w:rPr>
        <w:t>Ingeborg Volan</w:t>
      </w:r>
      <w:r w:rsidRPr="00BB6353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B6353">
        <w:rPr>
          <w:rFonts w:ascii="Arial" w:hAnsi="Arial" w:cs="Arial"/>
          <w:sz w:val="20"/>
          <w:szCs w:val="20"/>
        </w:rPr>
        <w:t xml:space="preserve">                   </w:t>
      </w:r>
    </w:p>
    <w:p w14:paraId="5FA3D4FA" w14:textId="77777777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2B2E74F4" w14:textId="1C7C37B6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6471FCD5" w14:textId="77777777" w:rsidR="00373E7E" w:rsidRDefault="00373E7E" w:rsidP="00F93D83">
      <w:pPr>
        <w:rPr>
          <w:rFonts w:ascii="Arial" w:hAnsi="Arial" w:cs="Arial"/>
          <w:sz w:val="20"/>
          <w:szCs w:val="20"/>
        </w:rPr>
      </w:pPr>
    </w:p>
    <w:p w14:paraId="30499154" w14:textId="366A9CDF" w:rsidR="00F93D83" w:rsidRDefault="00F93D83" w:rsidP="00F93D83">
      <w:pPr>
        <w:rPr>
          <w:rFonts w:ascii="Arial" w:hAnsi="Arial" w:cs="Arial"/>
          <w:sz w:val="20"/>
          <w:szCs w:val="20"/>
        </w:rPr>
      </w:pPr>
    </w:p>
    <w:p w14:paraId="3310EF2A" w14:textId="77777777" w:rsidR="005605D3" w:rsidRDefault="005605D3" w:rsidP="00F93D83">
      <w:pPr>
        <w:rPr>
          <w:rFonts w:ascii="Arial" w:hAnsi="Arial" w:cs="Arial"/>
          <w:sz w:val="20"/>
          <w:szCs w:val="20"/>
        </w:rPr>
      </w:pPr>
    </w:p>
    <w:p w14:paraId="67DF1F65" w14:textId="2395BF1D" w:rsidR="00F93D83" w:rsidRPr="00BB6353" w:rsidRDefault="00F93D83" w:rsidP="009974AF">
      <w:pPr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>Thor Gjermund Eriksen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9974AF">
        <w:rPr>
          <w:rFonts w:ascii="Arial" w:hAnsi="Arial" w:cs="Arial"/>
          <w:sz w:val="20"/>
          <w:szCs w:val="20"/>
        </w:rPr>
        <w:t xml:space="preserve">    </w:t>
      </w:r>
      <w:r w:rsidR="005605D3">
        <w:rPr>
          <w:rFonts w:ascii="Arial" w:hAnsi="Arial" w:cs="Arial"/>
          <w:sz w:val="20"/>
          <w:szCs w:val="20"/>
        </w:rPr>
        <w:t>Olav T. Sandnes</w:t>
      </w:r>
      <w:r w:rsidR="009974AF">
        <w:rPr>
          <w:rFonts w:ascii="Arial" w:hAnsi="Arial" w:cs="Arial"/>
          <w:sz w:val="20"/>
          <w:szCs w:val="20"/>
        </w:rPr>
        <w:t xml:space="preserve">  </w:t>
      </w:r>
      <w:r w:rsidRPr="00BB6353">
        <w:rPr>
          <w:rFonts w:ascii="Arial" w:hAnsi="Arial" w:cs="Arial"/>
          <w:sz w:val="20"/>
          <w:szCs w:val="20"/>
        </w:rPr>
        <w:tab/>
      </w:r>
      <w:r w:rsidRPr="00BB6353">
        <w:rPr>
          <w:rFonts w:ascii="Arial" w:hAnsi="Arial" w:cs="Arial"/>
          <w:sz w:val="20"/>
          <w:szCs w:val="20"/>
        </w:rPr>
        <w:tab/>
      </w:r>
      <w:r w:rsidR="005605D3">
        <w:rPr>
          <w:rFonts w:ascii="Arial" w:hAnsi="Arial" w:cs="Arial"/>
          <w:sz w:val="20"/>
          <w:szCs w:val="20"/>
        </w:rPr>
        <w:t xml:space="preserve">                  </w:t>
      </w:r>
      <w:r w:rsidRPr="00BB6353">
        <w:rPr>
          <w:rFonts w:ascii="Arial" w:hAnsi="Arial" w:cs="Arial"/>
          <w:sz w:val="20"/>
          <w:szCs w:val="20"/>
        </w:rPr>
        <w:t>Arne Jensen</w:t>
      </w:r>
    </w:p>
    <w:p w14:paraId="5BA457B2" w14:textId="42D18CE9" w:rsidR="00512AF2" w:rsidRDefault="00F93D83" w:rsidP="00373E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635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BB63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5605D3">
        <w:rPr>
          <w:rFonts w:ascii="Arial" w:hAnsi="Arial" w:cs="Arial"/>
          <w:sz w:val="20"/>
          <w:szCs w:val="20"/>
        </w:rPr>
        <w:t xml:space="preserve">            </w:t>
      </w:r>
      <w:r w:rsidRPr="00BB6353">
        <w:rPr>
          <w:rFonts w:ascii="Arial" w:hAnsi="Arial" w:cs="Arial"/>
          <w:sz w:val="20"/>
          <w:szCs w:val="20"/>
        </w:rPr>
        <w:t xml:space="preserve"> </w:t>
      </w:r>
      <w:r w:rsidR="005605D3">
        <w:rPr>
          <w:rFonts w:ascii="Arial" w:hAnsi="Arial" w:cs="Arial"/>
          <w:sz w:val="20"/>
          <w:szCs w:val="20"/>
        </w:rPr>
        <w:t xml:space="preserve">      </w:t>
      </w:r>
      <w:r w:rsidRPr="00BB6353">
        <w:rPr>
          <w:rFonts w:ascii="Arial" w:hAnsi="Arial" w:cs="Arial"/>
          <w:sz w:val="20"/>
          <w:szCs w:val="20"/>
        </w:rPr>
        <w:t xml:space="preserve">  generalsekretær 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600"/>
        <w:gridCol w:w="1493"/>
        <w:gridCol w:w="1568"/>
        <w:gridCol w:w="1873"/>
        <w:gridCol w:w="1320"/>
        <w:gridCol w:w="1020"/>
      </w:tblGrid>
      <w:tr w:rsidR="008A7442" w:rsidRPr="008A7442" w14:paraId="1A29804F" w14:textId="77777777" w:rsidTr="008A7442">
        <w:trPr>
          <w:trHeight w:val="45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C4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nb-NO"/>
              </w:rPr>
            </w:pPr>
            <w:bookmarkStart w:id="1" w:name="RANGE!A1:G83"/>
            <w:r w:rsidRPr="008A744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nb-NO"/>
              </w:rPr>
              <w:t>Norsk Redaktørforening</w:t>
            </w:r>
            <w:bookmarkEnd w:id="1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6ED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A09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92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73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4A9CCE1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5A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28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11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0E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8D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75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F5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2D5F9E6" w14:textId="77777777" w:rsidTr="008A7442">
        <w:trPr>
          <w:trHeight w:val="37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28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nb-NO"/>
              </w:rPr>
              <w:t>Noter til regnskapet 2017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272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C78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1C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89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BD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0805FC2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8C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2A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3A7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A51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17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4C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355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E0B359C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E9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Note 1  Regnskapsprinsipper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96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D9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8E2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5D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1E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68A45B3" w14:textId="77777777" w:rsidTr="008A7442">
        <w:trPr>
          <w:trHeight w:val="16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CD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248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A3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FC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D04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8F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18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84E0897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EF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Resultat og balanseoppstillingen er satt opp i samsvar med regnskapslovens regler og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90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5F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784E778" w14:textId="77777777" w:rsidTr="008A7442">
        <w:trPr>
          <w:trHeight w:val="31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88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god regnskapsskikk for ideelle organisasjoner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12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43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6E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B4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9B52A95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B4A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84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A63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85E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FD6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77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AD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2B20A55E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83F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Inntektene knytter seg i all hovedsak til kontingenter og deltakelsesavgifter.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C6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F2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2E4BFAD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01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Inntektsføring av disse skjer i gjeldende periode i henhold til opptjeningsprinsippet.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345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668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3C182B24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4F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31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DA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A8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99F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40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92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72C6D2C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7B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Kostnadsføring foretas i gjeldende periode og i henhold til sammenstillingsprinsippet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85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9C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28F1A168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035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F4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767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57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90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BB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7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F943FC3" w14:textId="77777777" w:rsidTr="008A7442">
        <w:trPr>
          <w:trHeight w:val="315"/>
        </w:trPr>
        <w:tc>
          <w:tcPr>
            <w:tcW w:w="10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75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Anleggsmidler balanseføres til anskaffelseskost og nedskrives til virkelig verdi når verdifallet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62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2E736F5F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191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forventes å ikke være forbigående.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8B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EC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7E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D14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DD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7D9217A" w14:textId="77777777" w:rsidTr="008A7442">
        <w:trPr>
          <w:trHeight w:val="315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72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Omløpsmidler vurderes til laveste av anskaffelseskost og virkelig verdi.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71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B7B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47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0974194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010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D8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010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DE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0BD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9A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850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AB6878D" w14:textId="77777777" w:rsidTr="008A7442">
        <w:trPr>
          <w:trHeight w:val="315"/>
        </w:trPr>
        <w:tc>
          <w:tcPr>
            <w:tcW w:w="10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AA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Kundefordringer og andre fordringer oppføres til pålydende etter fradrag for avsetningen til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3F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49E38B71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2A1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forventede tap. Avsetning til tap gjøres på grunnlag av en individuell vurdering av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74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14D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25D4335B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5A3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de enkelte fordringene.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7D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A1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4B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93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B2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B2BBAE6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8B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37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8C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0E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D7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7E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11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27F2D36A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34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00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38D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697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419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50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0D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4728B03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62E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Note 2 Ansatte, godtgjørelser m.v.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FC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7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31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D2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8F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B6C8AFC" w14:textId="77777777" w:rsidTr="008A7442">
        <w:trPr>
          <w:trHeight w:val="16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D2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F49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45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F2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C3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BF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4B6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136CC07" w14:textId="77777777" w:rsidTr="008A7442">
        <w:trPr>
          <w:trHeight w:val="31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F1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Personalkostnader består av følgende poster: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8B2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410B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A0FB9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2016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60D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72D328B0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84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Lønn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B9E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25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80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AF9F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3 012 652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7C2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2 878 088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4E1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0193C1CB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D6A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Arbeidsgiveravgift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D0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C45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8D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B98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496 033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7BE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481 100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FF7B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176CBCCC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D6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Andre lønnskostnader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0D7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96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EE7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FDE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461 950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C727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471 802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326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5FE92E41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87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Andre personalkostnader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D4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A79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1630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54 020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A1A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65 592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F045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68B6151A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D6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Refundert lønnskostnad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586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34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57F0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-195 326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4E0F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-211 992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DF2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780CBDED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EA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Sum personalkostnader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CDD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90E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0726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3 829 329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01BD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3 684 590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DB2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3A7FC6E3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2C4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768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0CB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D2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E9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01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854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1BB6D60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5C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Gjennomsnittlig antall ansatte: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4E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B07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DC17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4250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661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0E63BD2D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FF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05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BA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79F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820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A93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945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1DDC3E5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A6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Organisasjonen er pliktig til å ha tjenestepensjonsordning etter lov om obligatorisk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76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6CCE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B5D679D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6B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tjenestepensjon. Organisasjonens pensjonsordninger tilfredsstiller kravene i denne lov.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AF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6D9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ABA3B14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14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FF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89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FEF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89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6B9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7A4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9564151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9521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Ytelser til ledende personer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544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1C8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6719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Generalsekretær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EDE5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Styret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C6D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8A7442" w:rsidRPr="008A7442" w14:paraId="35C8B2D4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39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Lønn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FE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0FF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CE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C60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1 430 236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34A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B24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4FECE60B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52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Pensjonskostnader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19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2B4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45D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74C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219 249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D8A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56E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1948151F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2223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Annen godtgjørelse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793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EA2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E7E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88C6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16 836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702AC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6C27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00E0037B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0F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13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55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32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098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B9B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F5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3AB2B10E" w14:textId="77777777" w:rsidTr="008A7442">
        <w:trPr>
          <w:trHeight w:val="315"/>
        </w:trPr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405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Organisasjonen har ikke ytet lån eller gitt sikkerhetsstillelse ovenfor styremedlemmer,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F2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41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395562E0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9B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daglig leder eller ansatte i 2017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5F0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477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A6F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8B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38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C150A11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FA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5E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F8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34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75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E7D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E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F49B42F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E3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Revisor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7F9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1A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DE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0F0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8E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B8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37205C02" w14:textId="77777777" w:rsidTr="008A7442">
        <w:trPr>
          <w:trHeight w:val="315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47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Kostnadsført revisjonshonorar i 2017 utgjør kr 66 125 inkl. mva.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B2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64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C8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BBFF888" w14:textId="77777777" w:rsidTr="008A7442">
        <w:trPr>
          <w:trHeight w:val="315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89F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Dette inkluderer revisjon av Oslo Redaktørforening og Vederlagsfondet.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53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C6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38F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A7B3A4D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33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For konsultative tjenester kr. 0.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E0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70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F0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FB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F56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4295EE3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533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9F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3B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AF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810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7D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21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6D75053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97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6D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94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CA4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5FF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7E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E76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F9CC4E4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3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Note 3 Bundne midler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72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31F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A64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9C1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AFB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D639896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59D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0A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78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C6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A1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C5C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28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FAAFD6C" w14:textId="77777777" w:rsidTr="008A7442">
        <w:trPr>
          <w:trHeight w:val="315"/>
        </w:trPr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2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I posten inngår bundne bankinnskudd skattetrekk kr 169 273.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D74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E7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B1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BAC6110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E1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og husleiedepositum kr 621 800.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29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0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A60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CD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FA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49A659D5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8E4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5F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B6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26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1A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AE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001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D583F12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44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23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D7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BEA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84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53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B8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4F83DF9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79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Note 4  Driftsmidler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87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C6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D4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2E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6C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A30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5476C2D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720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75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6A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8F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B2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19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44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5BC9289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D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2E6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9D7F3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Dataustyr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E62A4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Webutvikling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AED7E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Kunst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D24A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Totalt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40B7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15D59A9A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46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Anskaffelseskost 01.01.17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F97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235 757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FC4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545 002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6C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12 500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0A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793 259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1F6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2093B0B4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BF0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Kjøp i året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C3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E47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48 935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9E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         - 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3C9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7D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48 935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94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10F1B24A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B8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Salg i året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8F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FC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3AE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64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03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85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07ECBDA3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803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Anskaffelseskost 31.12.17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FEAA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284 692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2FD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545 002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E16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12 500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A3E1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842 194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96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28F59C80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D6C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Akk. avskrivninger 01.01.17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D5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150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         - 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D2C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A2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0D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318C9C36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98E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Akk. avskrivninger solgte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2E9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C3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0F1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A1A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5C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78E68425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97A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Akk avskrivninger 31.12.17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0D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-220 330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53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-430 515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72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0B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-650 845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6B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4F1E749D" w14:textId="77777777" w:rsidTr="008A7442">
        <w:trPr>
          <w:trHeight w:val="315"/>
        </w:trPr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872D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Bokført verdi 31.12.17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304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64 362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A873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114 487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C25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12 500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84A8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191 349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A9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3A6016DC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6B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33D1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80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90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1C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10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C5F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7B29B1D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C64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Årets avskrivninger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2DE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1BD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19 159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BD8C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    108 704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49D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0310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     127 863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78F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</w:tr>
      <w:tr w:rsidR="008A7442" w:rsidRPr="008A7442" w14:paraId="24099DF5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2E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1B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8D0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4C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54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30E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AD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320322F8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972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49C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B6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B58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6C2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95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8C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3EF29FA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546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Note 5 Egenkapital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BE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86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F8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500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1E0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AD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0A9B0B70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6C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CF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71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36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5F9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1A7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CE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1E06BB3A" w14:textId="77777777" w:rsidTr="008A7442">
        <w:trPr>
          <w:trHeight w:val="63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B45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5D020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Annen egenkapital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316B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Prosjektfond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AEE2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Sum egenkapital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0C36" w14:textId="77777777" w:rsidR="008A7442" w:rsidRPr="008A7442" w:rsidRDefault="008A7442" w:rsidP="008A74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3FA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7E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7DC3A4A3" w14:textId="77777777" w:rsidTr="008A7442">
        <w:trPr>
          <w:trHeight w:val="315"/>
        </w:trPr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6888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Egenkapital  01 / 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CF52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5 209 530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532F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100 000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0D1D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5 309 530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F9C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7D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A6B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5C453998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0324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Årets resultat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54B9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595 875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EC1C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E322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595 875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7DF1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AA7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523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8A7442" w:rsidRPr="008A7442" w14:paraId="6AC0A3DD" w14:textId="77777777" w:rsidTr="008A7442">
        <w:trPr>
          <w:trHeight w:val="315"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59CD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SUM 31 /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08A7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5 805 405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9E02F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100 000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4C09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  <w:r w:rsidRPr="008A7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  <w:t>5 905 405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A64" w14:textId="77777777" w:rsidR="008A7442" w:rsidRPr="008A7442" w:rsidRDefault="008A7442" w:rsidP="008A7442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B636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76F" w14:textId="77777777" w:rsidR="008A7442" w:rsidRPr="008A7442" w:rsidRDefault="008A7442" w:rsidP="008A7442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7C178FA9" w14:textId="77777777" w:rsidR="005605D3" w:rsidRPr="0058391E" w:rsidRDefault="005605D3" w:rsidP="00373E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5605D3" w:rsidRPr="0058391E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1325" w14:textId="77777777" w:rsidR="00935BD0" w:rsidRDefault="00935BD0" w:rsidP="00642A4D">
      <w:r>
        <w:separator/>
      </w:r>
    </w:p>
  </w:endnote>
  <w:endnote w:type="continuationSeparator" w:id="0">
    <w:p w14:paraId="2B076DBE" w14:textId="77777777" w:rsidR="00935BD0" w:rsidRDefault="00935BD0" w:rsidP="0064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EF3" w14:textId="77777777" w:rsidR="00935BD0" w:rsidRDefault="00935BD0" w:rsidP="00642A4D">
      <w:r>
        <w:separator/>
      </w:r>
    </w:p>
  </w:footnote>
  <w:footnote w:type="continuationSeparator" w:id="0">
    <w:p w14:paraId="016E2CA4" w14:textId="77777777" w:rsidR="00935BD0" w:rsidRDefault="00935BD0" w:rsidP="0064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D3F"/>
    <w:multiLevelType w:val="hybridMultilevel"/>
    <w:tmpl w:val="1E9818E4"/>
    <w:lvl w:ilvl="0" w:tplc="88E41A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29CF"/>
    <w:multiLevelType w:val="hybridMultilevel"/>
    <w:tmpl w:val="591AA06C"/>
    <w:lvl w:ilvl="0" w:tplc="AFD27B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300A7"/>
    <w:rsid w:val="00053BD8"/>
    <w:rsid w:val="00054CA2"/>
    <w:rsid w:val="00066447"/>
    <w:rsid w:val="00074773"/>
    <w:rsid w:val="000979BB"/>
    <w:rsid w:val="000A6DC5"/>
    <w:rsid w:val="000D02D3"/>
    <w:rsid w:val="000D59A9"/>
    <w:rsid w:val="001309E2"/>
    <w:rsid w:val="00140358"/>
    <w:rsid w:val="001436FA"/>
    <w:rsid w:val="00172AFB"/>
    <w:rsid w:val="001979E8"/>
    <w:rsid w:val="001C3607"/>
    <w:rsid w:val="00210F26"/>
    <w:rsid w:val="002532C2"/>
    <w:rsid w:val="00283B6A"/>
    <w:rsid w:val="00295D4D"/>
    <w:rsid w:val="002C6FF9"/>
    <w:rsid w:val="002D1A22"/>
    <w:rsid w:val="00305710"/>
    <w:rsid w:val="0031195A"/>
    <w:rsid w:val="00373E7E"/>
    <w:rsid w:val="003B7833"/>
    <w:rsid w:val="003F6323"/>
    <w:rsid w:val="0040114C"/>
    <w:rsid w:val="00403553"/>
    <w:rsid w:val="004048D4"/>
    <w:rsid w:val="00405754"/>
    <w:rsid w:val="00416DCB"/>
    <w:rsid w:val="004231C6"/>
    <w:rsid w:val="00450D3E"/>
    <w:rsid w:val="00453C55"/>
    <w:rsid w:val="004744B2"/>
    <w:rsid w:val="004D3C62"/>
    <w:rsid w:val="004D6EF8"/>
    <w:rsid w:val="004E33E8"/>
    <w:rsid w:val="004E3CDA"/>
    <w:rsid w:val="004E3F5A"/>
    <w:rsid w:val="004F153E"/>
    <w:rsid w:val="004F66A0"/>
    <w:rsid w:val="005067B7"/>
    <w:rsid w:val="00512AF2"/>
    <w:rsid w:val="0053081E"/>
    <w:rsid w:val="005362EC"/>
    <w:rsid w:val="00553B44"/>
    <w:rsid w:val="005605D3"/>
    <w:rsid w:val="005653AB"/>
    <w:rsid w:val="00566FE4"/>
    <w:rsid w:val="00572FB4"/>
    <w:rsid w:val="0058391E"/>
    <w:rsid w:val="005B184C"/>
    <w:rsid w:val="005D3D48"/>
    <w:rsid w:val="005D4E74"/>
    <w:rsid w:val="0062120A"/>
    <w:rsid w:val="00634934"/>
    <w:rsid w:val="00642A4D"/>
    <w:rsid w:val="0066147F"/>
    <w:rsid w:val="006A3D33"/>
    <w:rsid w:val="006C518E"/>
    <w:rsid w:val="006E2795"/>
    <w:rsid w:val="006F77F8"/>
    <w:rsid w:val="0073314F"/>
    <w:rsid w:val="007331AA"/>
    <w:rsid w:val="007459F7"/>
    <w:rsid w:val="0077712C"/>
    <w:rsid w:val="0079613F"/>
    <w:rsid w:val="007B5F9D"/>
    <w:rsid w:val="007C507C"/>
    <w:rsid w:val="007C7662"/>
    <w:rsid w:val="007D359E"/>
    <w:rsid w:val="007E70E8"/>
    <w:rsid w:val="00815874"/>
    <w:rsid w:val="00844B4A"/>
    <w:rsid w:val="00855832"/>
    <w:rsid w:val="00857679"/>
    <w:rsid w:val="00883EDC"/>
    <w:rsid w:val="00887460"/>
    <w:rsid w:val="00895375"/>
    <w:rsid w:val="008A1C83"/>
    <w:rsid w:val="008A50E3"/>
    <w:rsid w:val="008A7442"/>
    <w:rsid w:val="008D2B0A"/>
    <w:rsid w:val="008D601B"/>
    <w:rsid w:val="008E00F4"/>
    <w:rsid w:val="008F23CB"/>
    <w:rsid w:val="00900764"/>
    <w:rsid w:val="009014A6"/>
    <w:rsid w:val="009101B0"/>
    <w:rsid w:val="009201DE"/>
    <w:rsid w:val="00920458"/>
    <w:rsid w:val="0093271F"/>
    <w:rsid w:val="00935BD0"/>
    <w:rsid w:val="00970BE3"/>
    <w:rsid w:val="009959DB"/>
    <w:rsid w:val="009974AF"/>
    <w:rsid w:val="009B64BD"/>
    <w:rsid w:val="009C6030"/>
    <w:rsid w:val="009F2523"/>
    <w:rsid w:val="00A01092"/>
    <w:rsid w:val="00A23633"/>
    <w:rsid w:val="00A45B5D"/>
    <w:rsid w:val="00A47719"/>
    <w:rsid w:val="00A539ED"/>
    <w:rsid w:val="00A75A7B"/>
    <w:rsid w:val="00A90D5F"/>
    <w:rsid w:val="00A95417"/>
    <w:rsid w:val="00AC1375"/>
    <w:rsid w:val="00AC3987"/>
    <w:rsid w:val="00AE4FE9"/>
    <w:rsid w:val="00B16092"/>
    <w:rsid w:val="00B20E85"/>
    <w:rsid w:val="00B36426"/>
    <w:rsid w:val="00B414F5"/>
    <w:rsid w:val="00B46BAA"/>
    <w:rsid w:val="00B46EFC"/>
    <w:rsid w:val="00B65095"/>
    <w:rsid w:val="00B76784"/>
    <w:rsid w:val="00B76AA9"/>
    <w:rsid w:val="00B868E9"/>
    <w:rsid w:val="00B91E0D"/>
    <w:rsid w:val="00B948ED"/>
    <w:rsid w:val="00BA2F8E"/>
    <w:rsid w:val="00BF139E"/>
    <w:rsid w:val="00C01F4C"/>
    <w:rsid w:val="00C35B32"/>
    <w:rsid w:val="00C605A1"/>
    <w:rsid w:val="00C750E9"/>
    <w:rsid w:val="00C77C53"/>
    <w:rsid w:val="00C863AA"/>
    <w:rsid w:val="00C94621"/>
    <w:rsid w:val="00C94AA1"/>
    <w:rsid w:val="00CB3758"/>
    <w:rsid w:val="00CB3BCA"/>
    <w:rsid w:val="00CC0FCB"/>
    <w:rsid w:val="00CD6B99"/>
    <w:rsid w:val="00CD73A3"/>
    <w:rsid w:val="00CF16BE"/>
    <w:rsid w:val="00D10C6C"/>
    <w:rsid w:val="00D24D54"/>
    <w:rsid w:val="00D27F23"/>
    <w:rsid w:val="00D36056"/>
    <w:rsid w:val="00D41128"/>
    <w:rsid w:val="00D56728"/>
    <w:rsid w:val="00D60DF3"/>
    <w:rsid w:val="00D60EFB"/>
    <w:rsid w:val="00D916C3"/>
    <w:rsid w:val="00D94BEB"/>
    <w:rsid w:val="00DC01D2"/>
    <w:rsid w:val="00DD00AF"/>
    <w:rsid w:val="00DD4F40"/>
    <w:rsid w:val="00DE1918"/>
    <w:rsid w:val="00E135BC"/>
    <w:rsid w:val="00E22382"/>
    <w:rsid w:val="00E97204"/>
    <w:rsid w:val="00EA0C8E"/>
    <w:rsid w:val="00EB488C"/>
    <w:rsid w:val="00EC2873"/>
    <w:rsid w:val="00EC3586"/>
    <w:rsid w:val="00EE61E1"/>
    <w:rsid w:val="00F03A28"/>
    <w:rsid w:val="00F03DF2"/>
    <w:rsid w:val="00F27C66"/>
    <w:rsid w:val="00F31267"/>
    <w:rsid w:val="00F36A81"/>
    <w:rsid w:val="00F46530"/>
    <w:rsid w:val="00F93D83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7D9"/>
  <w15:docId w15:val="{1B657178-18D8-4B09-B076-180D3F4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basedOn w:val="Standardskriftforavsnitt"/>
    <w:qFormat/>
    <w:rsid w:val="0058391E"/>
    <w:rPr>
      <w:i/>
      <w:iCs/>
    </w:rPr>
  </w:style>
  <w:style w:type="paragraph" w:styleId="Listeavsnitt">
    <w:name w:val="List Paragraph"/>
    <w:basedOn w:val="Normal"/>
    <w:uiPriority w:val="34"/>
    <w:qFormat/>
    <w:rsid w:val="002532C2"/>
    <w:pPr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2A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A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2754</Words>
  <Characters>14598</Characters>
  <Application>Microsoft Office Word</Application>
  <DocSecurity>4</DocSecurity>
  <Lines>121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2</cp:revision>
  <cp:lastPrinted>2017-03-23T08:35:00Z</cp:lastPrinted>
  <dcterms:created xsi:type="dcterms:W3CDTF">2018-04-24T12:10:00Z</dcterms:created>
  <dcterms:modified xsi:type="dcterms:W3CDTF">2018-04-24T12:10:00Z</dcterms:modified>
</cp:coreProperties>
</file>