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23" w:rsidRPr="00A374FC" w:rsidRDefault="001979E8" w:rsidP="000B6F26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>Norsk Redaktørforening</w:t>
      </w:r>
    </w:p>
    <w:p w:rsidR="001979E8" w:rsidRPr="00A374FC" w:rsidRDefault="001979E8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 xml:space="preserve">Styremøte </w:t>
      </w:r>
      <w:r w:rsidR="000561B9" w:rsidRPr="00A374FC">
        <w:rPr>
          <w:rFonts w:asciiTheme="minorHAnsi" w:hAnsiTheme="minorHAnsi"/>
        </w:rPr>
        <w:t>201</w:t>
      </w:r>
      <w:r w:rsidR="00E34490" w:rsidRPr="00A374FC">
        <w:rPr>
          <w:rFonts w:asciiTheme="minorHAnsi" w:hAnsiTheme="minorHAnsi"/>
        </w:rPr>
        <w:t>7</w:t>
      </w:r>
      <w:r w:rsidR="006B74D2" w:rsidRPr="00A374FC">
        <w:rPr>
          <w:rFonts w:asciiTheme="minorHAnsi" w:hAnsiTheme="minorHAnsi"/>
        </w:rPr>
        <w:t>-</w:t>
      </w:r>
      <w:r w:rsidR="00D237E1" w:rsidRPr="00A374FC">
        <w:rPr>
          <w:rFonts w:asciiTheme="minorHAnsi" w:hAnsiTheme="minorHAnsi"/>
        </w:rPr>
        <w:t>0</w:t>
      </w:r>
      <w:r w:rsidR="00E34490" w:rsidRPr="00A374FC">
        <w:rPr>
          <w:rFonts w:asciiTheme="minorHAnsi" w:hAnsiTheme="minorHAnsi"/>
        </w:rPr>
        <w:t>6</w:t>
      </w:r>
      <w:r w:rsidR="006B74D2" w:rsidRPr="00A374FC">
        <w:rPr>
          <w:rFonts w:asciiTheme="minorHAnsi" w:hAnsiTheme="minorHAnsi"/>
        </w:rPr>
        <w:t>-</w:t>
      </w:r>
      <w:r w:rsidR="00E34490" w:rsidRPr="00A374FC">
        <w:rPr>
          <w:rFonts w:asciiTheme="minorHAnsi" w:hAnsiTheme="minorHAnsi"/>
        </w:rPr>
        <w:t>12</w:t>
      </w:r>
      <w:r w:rsidR="000231E3" w:rsidRPr="00A374FC">
        <w:rPr>
          <w:rFonts w:asciiTheme="minorHAnsi" w:hAnsiTheme="minorHAnsi"/>
        </w:rPr>
        <w:t xml:space="preserve"> </w:t>
      </w:r>
      <w:r w:rsidR="00E34490" w:rsidRPr="00A374FC">
        <w:rPr>
          <w:rFonts w:asciiTheme="minorHAnsi" w:hAnsiTheme="minorHAnsi"/>
        </w:rPr>
        <w:t>Trondheim</w:t>
      </w:r>
    </w:p>
    <w:p w:rsidR="0066147F" w:rsidRPr="00A374FC" w:rsidRDefault="009A560E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>AJ</w:t>
      </w:r>
    </w:p>
    <w:p w:rsidR="001979E8" w:rsidRPr="00A374FC" w:rsidRDefault="001979E8">
      <w:pPr>
        <w:rPr>
          <w:rFonts w:asciiTheme="minorHAnsi" w:hAnsiTheme="minorHAnsi"/>
          <w:sz w:val="24"/>
          <w:szCs w:val="24"/>
        </w:rPr>
      </w:pPr>
    </w:p>
    <w:p w:rsidR="00474D79" w:rsidRPr="00A374FC" w:rsidRDefault="00474D79">
      <w:pPr>
        <w:rPr>
          <w:rFonts w:asciiTheme="minorHAnsi" w:hAnsiTheme="minorHAnsi" w:cs="Arial"/>
          <w:b/>
          <w:i/>
          <w:sz w:val="28"/>
          <w:szCs w:val="28"/>
        </w:rPr>
      </w:pPr>
    </w:p>
    <w:p w:rsidR="00407FD3" w:rsidRPr="00A374FC" w:rsidRDefault="00004621">
      <w:pPr>
        <w:rPr>
          <w:rFonts w:asciiTheme="minorHAnsi" w:hAnsiTheme="minorHAnsi" w:cs="Arial"/>
          <w:b/>
          <w:i/>
          <w:sz w:val="28"/>
          <w:szCs w:val="28"/>
        </w:rPr>
      </w:pPr>
      <w:r w:rsidRPr="00A374FC">
        <w:rPr>
          <w:rFonts w:asciiTheme="minorHAnsi" w:hAnsiTheme="minorHAnsi" w:cs="Arial"/>
          <w:b/>
          <w:i/>
          <w:sz w:val="28"/>
          <w:szCs w:val="28"/>
        </w:rPr>
        <w:t>Sak 201</w:t>
      </w:r>
      <w:r w:rsidR="00E34490" w:rsidRPr="00A374FC">
        <w:rPr>
          <w:rFonts w:asciiTheme="minorHAnsi" w:hAnsiTheme="minorHAnsi" w:cs="Arial"/>
          <w:b/>
          <w:i/>
          <w:sz w:val="28"/>
          <w:szCs w:val="28"/>
        </w:rPr>
        <w:t>7</w:t>
      </w:r>
      <w:r w:rsidR="001979E8" w:rsidRPr="00A374FC">
        <w:rPr>
          <w:rFonts w:asciiTheme="minorHAnsi" w:hAnsiTheme="minorHAnsi" w:cs="Arial"/>
          <w:b/>
          <w:i/>
          <w:sz w:val="28"/>
          <w:szCs w:val="28"/>
        </w:rPr>
        <w:t>-</w:t>
      </w:r>
      <w:r w:rsidR="00E34490" w:rsidRPr="00A374FC">
        <w:rPr>
          <w:rFonts w:asciiTheme="minorHAnsi" w:hAnsiTheme="minorHAnsi" w:cs="Arial"/>
          <w:b/>
          <w:i/>
          <w:sz w:val="28"/>
          <w:szCs w:val="28"/>
        </w:rPr>
        <w:t>23</w:t>
      </w:r>
      <w:r w:rsidR="001979E8" w:rsidRPr="00A374FC">
        <w:rPr>
          <w:rFonts w:asciiTheme="minorHAnsi" w:hAnsiTheme="minorHAnsi" w:cs="Arial"/>
          <w:b/>
          <w:i/>
          <w:sz w:val="28"/>
          <w:szCs w:val="28"/>
        </w:rPr>
        <w:t xml:space="preserve">: </w:t>
      </w:r>
      <w:r w:rsidR="00407FD3" w:rsidRPr="00A374FC">
        <w:rPr>
          <w:rFonts w:asciiTheme="minorHAnsi" w:hAnsiTheme="minorHAnsi" w:cs="Arial"/>
          <w:b/>
          <w:i/>
          <w:sz w:val="28"/>
          <w:szCs w:val="28"/>
        </w:rPr>
        <w:t>Regnskapsrapport per 3</w:t>
      </w:r>
      <w:r w:rsidR="00C41E8F" w:rsidRPr="00A374FC">
        <w:rPr>
          <w:rFonts w:asciiTheme="minorHAnsi" w:hAnsiTheme="minorHAnsi" w:cs="Arial"/>
          <w:b/>
          <w:i/>
          <w:sz w:val="28"/>
          <w:szCs w:val="28"/>
        </w:rPr>
        <w:t>1</w:t>
      </w:r>
      <w:r w:rsidR="00407FD3" w:rsidRPr="00A374FC">
        <w:rPr>
          <w:rFonts w:asciiTheme="minorHAnsi" w:hAnsiTheme="minorHAnsi" w:cs="Arial"/>
          <w:b/>
          <w:i/>
          <w:sz w:val="28"/>
          <w:szCs w:val="28"/>
        </w:rPr>
        <w:t>.</w:t>
      </w:r>
      <w:r w:rsidR="0011769F">
        <w:rPr>
          <w:rFonts w:asciiTheme="minorHAnsi" w:hAnsiTheme="minorHAnsi" w:cs="Arial"/>
          <w:b/>
          <w:i/>
          <w:sz w:val="28"/>
          <w:szCs w:val="28"/>
        </w:rPr>
        <w:t>mai</w:t>
      </w:r>
      <w:r w:rsidR="000231E3" w:rsidRPr="00A374FC">
        <w:rPr>
          <w:rFonts w:asciiTheme="minorHAnsi" w:hAnsiTheme="minorHAnsi" w:cs="Arial"/>
          <w:b/>
          <w:i/>
          <w:sz w:val="28"/>
          <w:szCs w:val="28"/>
        </w:rPr>
        <w:t xml:space="preserve"> 201</w:t>
      </w:r>
      <w:r w:rsidR="0011769F">
        <w:rPr>
          <w:rFonts w:asciiTheme="minorHAnsi" w:hAnsiTheme="minorHAnsi" w:cs="Arial"/>
          <w:b/>
          <w:i/>
          <w:sz w:val="28"/>
          <w:szCs w:val="28"/>
        </w:rPr>
        <w:t>7</w:t>
      </w:r>
    </w:p>
    <w:p w:rsidR="0058391E" w:rsidRPr="00A374FC" w:rsidRDefault="00407FD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 w:cs="Arial"/>
          <w:b/>
          <w:i/>
          <w:sz w:val="28"/>
          <w:szCs w:val="28"/>
        </w:rPr>
        <w:t xml:space="preserve">                      </w:t>
      </w:r>
    </w:p>
    <w:p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Vedlagt følger oppstilling for driftsregnskap og balanse per </w:t>
      </w:r>
      <w:r w:rsidR="00D237E1" w:rsidRPr="00A374FC">
        <w:rPr>
          <w:rFonts w:asciiTheme="minorHAnsi" w:hAnsiTheme="minorHAnsi"/>
          <w:sz w:val="24"/>
          <w:szCs w:val="24"/>
        </w:rPr>
        <w:t>3</w:t>
      </w:r>
      <w:r w:rsidR="00C41E8F" w:rsidRPr="00A374FC">
        <w:rPr>
          <w:rFonts w:asciiTheme="minorHAnsi" w:hAnsiTheme="minorHAnsi"/>
          <w:sz w:val="24"/>
          <w:szCs w:val="24"/>
        </w:rPr>
        <w:t>1</w:t>
      </w:r>
      <w:r w:rsidR="00D237E1" w:rsidRPr="00A374FC">
        <w:rPr>
          <w:rFonts w:asciiTheme="minorHAnsi" w:hAnsiTheme="minorHAnsi"/>
          <w:sz w:val="24"/>
          <w:szCs w:val="24"/>
        </w:rPr>
        <w:t xml:space="preserve">. </w:t>
      </w:r>
      <w:r w:rsidR="0011769F">
        <w:rPr>
          <w:rFonts w:asciiTheme="minorHAnsi" w:hAnsiTheme="minorHAnsi"/>
          <w:sz w:val="24"/>
          <w:szCs w:val="24"/>
        </w:rPr>
        <w:t>mai</w:t>
      </w:r>
      <w:bookmarkStart w:id="0" w:name="_GoBack"/>
      <w:bookmarkEnd w:id="0"/>
      <w:r w:rsidRPr="00A374FC">
        <w:rPr>
          <w:rFonts w:asciiTheme="minorHAnsi" w:hAnsiTheme="minorHAnsi"/>
          <w:sz w:val="24"/>
          <w:szCs w:val="24"/>
        </w:rPr>
        <w:t xml:space="preserve">. Grunnet periodisering av så vel inntekter som utgifter, samt enkelte andre særlige forhold, </w:t>
      </w:r>
      <w:r w:rsidR="00B00E26" w:rsidRPr="00A374FC">
        <w:rPr>
          <w:rFonts w:asciiTheme="minorHAnsi" w:hAnsiTheme="minorHAnsi"/>
          <w:sz w:val="24"/>
          <w:szCs w:val="24"/>
        </w:rPr>
        <w:t>blir</w:t>
      </w:r>
      <w:r w:rsidRPr="00A374FC">
        <w:rPr>
          <w:rFonts w:asciiTheme="minorHAnsi" w:hAnsiTheme="minorHAnsi"/>
          <w:sz w:val="24"/>
          <w:szCs w:val="24"/>
        </w:rPr>
        <w:t xml:space="preserve"> enkelte av postene </w:t>
      </w:r>
      <w:r w:rsidR="00B00E26" w:rsidRPr="00A374FC">
        <w:rPr>
          <w:rFonts w:asciiTheme="minorHAnsi" w:hAnsiTheme="minorHAnsi"/>
          <w:sz w:val="24"/>
          <w:szCs w:val="24"/>
        </w:rPr>
        <w:t xml:space="preserve">forklart </w:t>
      </w:r>
      <w:r w:rsidRPr="00A374FC">
        <w:rPr>
          <w:rFonts w:asciiTheme="minorHAnsi" w:hAnsiTheme="minorHAnsi"/>
          <w:sz w:val="24"/>
          <w:szCs w:val="24"/>
        </w:rPr>
        <w:t xml:space="preserve">nærmere. I det følgende går vi gjennom regnskapsrapporten </w:t>
      </w:r>
      <w:r w:rsidR="00C41E8F" w:rsidRPr="00A374FC">
        <w:rPr>
          <w:rFonts w:asciiTheme="minorHAnsi" w:hAnsiTheme="minorHAnsi"/>
          <w:sz w:val="24"/>
          <w:szCs w:val="24"/>
        </w:rPr>
        <w:t>kronologisk</w:t>
      </w:r>
      <w:r w:rsidRPr="00A374FC">
        <w:rPr>
          <w:rFonts w:asciiTheme="minorHAnsi" w:hAnsiTheme="minorHAnsi"/>
          <w:sz w:val="24"/>
          <w:szCs w:val="24"/>
        </w:rPr>
        <w:t>.</w:t>
      </w:r>
    </w:p>
    <w:p w:rsidR="00407FD3" w:rsidRPr="00A374FC" w:rsidRDefault="00407FD3">
      <w:pPr>
        <w:rPr>
          <w:rFonts w:asciiTheme="minorHAnsi" w:hAnsiTheme="minorHAnsi"/>
          <w:sz w:val="24"/>
          <w:szCs w:val="24"/>
        </w:rPr>
      </w:pPr>
    </w:p>
    <w:p w:rsidR="000231E3" w:rsidRPr="00A374FC" w:rsidRDefault="000231E3">
      <w:pPr>
        <w:rPr>
          <w:rFonts w:asciiTheme="minorHAnsi" w:hAnsiTheme="minorHAnsi"/>
          <w:b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</w:rPr>
        <w:t>Inntekter</w:t>
      </w:r>
    </w:p>
    <w:p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Bokført </w:t>
      </w:r>
      <w:r w:rsidRPr="00A374FC">
        <w:rPr>
          <w:rFonts w:asciiTheme="minorHAnsi" w:hAnsiTheme="minorHAnsi"/>
          <w:sz w:val="24"/>
          <w:szCs w:val="24"/>
          <w:u w:val="single"/>
        </w:rPr>
        <w:t>NR-kontingent</w:t>
      </w:r>
      <w:r w:rsidRPr="00A374FC">
        <w:rPr>
          <w:rFonts w:asciiTheme="minorHAnsi" w:hAnsiTheme="minorHAnsi"/>
          <w:sz w:val="24"/>
          <w:szCs w:val="24"/>
        </w:rPr>
        <w:t xml:space="preserve"> ved utløpet av </w:t>
      </w:r>
      <w:r w:rsidR="00E34490" w:rsidRPr="00A374FC">
        <w:rPr>
          <w:rFonts w:asciiTheme="minorHAnsi" w:hAnsiTheme="minorHAnsi"/>
          <w:sz w:val="24"/>
          <w:szCs w:val="24"/>
        </w:rPr>
        <w:t>mai</w:t>
      </w:r>
      <w:r w:rsidR="00C41E8F" w:rsidRPr="00A374FC">
        <w:rPr>
          <w:rFonts w:asciiTheme="minorHAnsi" w:hAnsiTheme="minorHAnsi"/>
          <w:sz w:val="24"/>
          <w:szCs w:val="24"/>
        </w:rPr>
        <w:t xml:space="preserve"> ligger</w:t>
      </w:r>
      <w:r w:rsidR="00E34490" w:rsidRPr="00A374FC">
        <w:rPr>
          <w:rFonts w:asciiTheme="minorHAnsi" w:hAnsiTheme="minorHAnsi"/>
          <w:sz w:val="24"/>
          <w:szCs w:val="24"/>
        </w:rPr>
        <w:t xml:space="preserve"> rundt 175.000 kroner under det </w:t>
      </w:r>
      <w:r w:rsidR="00C41E8F" w:rsidRPr="00A374FC">
        <w:rPr>
          <w:rFonts w:asciiTheme="minorHAnsi" w:hAnsiTheme="minorHAnsi"/>
          <w:sz w:val="24"/>
          <w:szCs w:val="24"/>
        </w:rPr>
        <w:t xml:space="preserve">budsjetterte. </w:t>
      </w:r>
      <w:r w:rsidR="00E34490" w:rsidRPr="00A374FC">
        <w:rPr>
          <w:rFonts w:asciiTheme="minorHAnsi" w:hAnsiTheme="minorHAnsi"/>
          <w:sz w:val="24"/>
          <w:szCs w:val="24"/>
        </w:rPr>
        <w:t>Dersom vi fremskriver det på årsbasis vil det gi nesten 400.000 kroner mindre enn budsjettert. Vi har imidlertid erfaring for, og også i år et håp om at nyinnmeldinger vil veie opp for noe av dette, slik at sluttresultatet blir noe bedre. Det er imidlertid ingen tvil om at vi vil få problemer med å nå det budsjettmålet hva gjelder kontingentinntekter. Vi sliter med å få medlemstallet over 700, som er det snittet vi har basert budsjettet på.</w:t>
      </w:r>
      <w:r w:rsidR="00C41E8F" w:rsidRPr="00A374FC">
        <w:rPr>
          <w:rFonts w:asciiTheme="minorHAnsi" w:hAnsiTheme="minorHAnsi"/>
          <w:sz w:val="24"/>
          <w:szCs w:val="24"/>
        </w:rPr>
        <w:t xml:space="preserve"> Som omtalt i tidligere regnskapsrapporter er det </w:t>
      </w:r>
      <w:r w:rsidR="00B00E26" w:rsidRPr="00A374FC">
        <w:rPr>
          <w:rFonts w:asciiTheme="minorHAnsi" w:hAnsiTheme="minorHAnsi"/>
          <w:sz w:val="24"/>
          <w:szCs w:val="24"/>
        </w:rPr>
        <w:t>på grunn av</w:t>
      </w:r>
      <w:r w:rsidR="00C41E8F" w:rsidRPr="00A374FC">
        <w:rPr>
          <w:rFonts w:asciiTheme="minorHAnsi" w:hAnsiTheme="minorHAnsi"/>
          <w:sz w:val="24"/>
          <w:szCs w:val="24"/>
        </w:rPr>
        <w:t xml:space="preserve"> kutt, omorganiseringer og ellers</w:t>
      </w:r>
      <w:r w:rsidR="00B00E26" w:rsidRPr="00A374FC">
        <w:rPr>
          <w:rFonts w:asciiTheme="minorHAnsi" w:hAnsiTheme="minorHAnsi"/>
          <w:sz w:val="24"/>
          <w:szCs w:val="24"/>
        </w:rPr>
        <w:t xml:space="preserve"> </w:t>
      </w:r>
      <w:r w:rsidRPr="00A374FC">
        <w:rPr>
          <w:rFonts w:asciiTheme="minorHAnsi" w:hAnsiTheme="minorHAnsi"/>
          <w:sz w:val="24"/>
          <w:szCs w:val="24"/>
        </w:rPr>
        <w:t>stor turnover i bransjen</w:t>
      </w:r>
      <w:r w:rsidR="002D3EA6" w:rsidRPr="00A374FC">
        <w:rPr>
          <w:rFonts w:asciiTheme="minorHAnsi" w:hAnsiTheme="minorHAnsi"/>
          <w:sz w:val="24"/>
          <w:szCs w:val="24"/>
        </w:rPr>
        <w:t>,</w:t>
      </w:r>
      <w:r w:rsidR="00B00E26" w:rsidRPr="00A374FC">
        <w:rPr>
          <w:rFonts w:asciiTheme="minorHAnsi" w:hAnsiTheme="minorHAnsi"/>
          <w:sz w:val="24"/>
          <w:szCs w:val="24"/>
        </w:rPr>
        <w:t xml:space="preserve"> betydelige utfordringer knyttet til å holde medlemstallet og dermed inntektsmålet</w:t>
      </w:r>
      <w:r w:rsidRPr="00A374FC">
        <w:rPr>
          <w:rFonts w:asciiTheme="minorHAnsi" w:hAnsiTheme="minorHAnsi"/>
          <w:sz w:val="24"/>
          <w:szCs w:val="24"/>
        </w:rPr>
        <w:t>.</w:t>
      </w:r>
      <w:r w:rsidR="00D237E1" w:rsidRPr="00A374FC">
        <w:rPr>
          <w:rFonts w:asciiTheme="minorHAnsi" w:hAnsiTheme="minorHAnsi"/>
          <w:sz w:val="24"/>
          <w:szCs w:val="24"/>
        </w:rPr>
        <w:t xml:space="preserve"> </w:t>
      </w:r>
    </w:p>
    <w:p w:rsidR="00C41E8F" w:rsidRPr="00A374FC" w:rsidRDefault="00C41E8F" w:rsidP="000231E3">
      <w:pPr>
        <w:rPr>
          <w:rFonts w:asciiTheme="minorHAnsi" w:hAnsiTheme="minorHAnsi"/>
          <w:sz w:val="24"/>
          <w:szCs w:val="24"/>
        </w:rPr>
      </w:pPr>
    </w:p>
    <w:p w:rsidR="000231E3" w:rsidRPr="00A374FC" w:rsidRDefault="00E34490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>Til gjengjeld har vi allerede nå nesten oppfylt inntektsposten</w:t>
      </w:r>
      <w:r w:rsidR="000231E3" w:rsidRPr="00A374FC">
        <w:rPr>
          <w:rFonts w:asciiTheme="minorHAnsi" w:hAnsiTheme="minorHAnsi"/>
          <w:sz w:val="24"/>
          <w:szCs w:val="24"/>
        </w:rPr>
        <w:t xml:space="preserve"> </w:t>
      </w:r>
      <w:r w:rsidR="000231E3" w:rsidRPr="00A374FC">
        <w:rPr>
          <w:rFonts w:asciiTheme="minorHAnsi" w:hAnsiTheme="minorHAnsi"/>
          <w:sz w:val="24"/>
          <w:szCs w:val="24"/>
          <w:u w:val="single"/>
        </w:rPr>
        <w:t>«Adm. Vederlag»,</w:t>
      </w:r>
      <w:r w:rsidR="000231E3" w:rsidRPr="00A374FC">
        <w:rPr>
          <w:rFonts w:asciiTheme="minorHAnsi" w:hAnsiTheme="minorHAnsi"/>
          <w:sz w:val="24"/>
          <w:szCs w:val="24"/>
        </w:rPr>
        <w:t xml:space="preserve"> som er vederlaget NR får for administrasjon av de kollektive vederlagsmidler som innkreves av Kopinor og Norwaco</w:t>
      </w:r>
      <w:r w:rsidR="00BE3754" w:rsidRPr="00A374FC">
        <w:rPr>
          <w:rFonts w:asciiTheme="minorHAnsi" w:hAnsiTheme="minorHAnsi"/>
          <w:sz w:val="24"/>
          <w:szCs w:val="24"/>
        </w:rPr>
        <w:t>. Det skyldes primært at to overføringer som skulle vært foretatt i fjor</w:t>
      </w:r>
      <w:r w:rsidR="000231E3" w:rsidRPr="00A374FC">
        <w:rPr>
          <w:rFonts w:asciiTheme="minorHAnsi" w:hAnsiTheme="minorHAnsi"/>
          <w:sz w:val="24"/>
          <w:szCs w:val="24"/>
        </w:rPr>
        <w:t>,</w:t>
      </w:r>
      <w:r w:rsidR="00BE3754" w:rsidRPr="00A374FC">
        <w:rPr>
          <w:rFonts w:asciiTheme="minorHAnsi" w:hAnsiTheme="minorHAnsi"/>
          <w:sz w:val="24"/>
          <w:szCs w:val="24"/>
        </w:rPr>
        <w:t xml:space="preserve"> blir bokført først på årets regnskap.</w:t>
      </w:r>
      <w:r w:rsidR="000231E3" w:rsidRPr="00A374FC">
        <w:rPr>
          <w:rFonts w:asciiTheme="minorHAnsi" w:hAnsiTheme="minorHAnsi"/>
          <w:sz w:val="24"/>
          <w:szCs w:val="24"/>
        </w:rPr>
        <w:t xml:space="preserve"> </w:t>
      </w:r>
      <w:r w:rsidR="000231E3" w:rsidRPr="00A374FC">
        <w:rPr>
          <w:rFonts w:asciiTheme="minorHAnsi" w:hAnsiTheme="minorHAnsi"/>
          <w:sz w:val="24"/>
          <w:szCs w:val="24"/>
          <w:u w:val="single"/>
        </w:rPr>
        <w:t>«Refusjon OR»,</w:t>
      </w:r>
      <w:r w:rsidR="000231E3" w:rsidRPr="00A374FC">
        <w:rPr>
          <w:rFonts w:asciiTheme="minorHAnsi" w:hAnsiTheme="minorHAnsi"/>
          <w:sz w:val="24"/>
          <w:szCs w:val="24"/>
        </w:rPr>
        <w:t xml:space="preserve"> som er Oslo Redaktørforenings avtalte betaling for sekretariatstjenester fra NR-sekretariatet</w:t>
      </w:r>
      <w:r w:rsidR="007C706A" w:rsidRPr="00A374FC">
        <w:rPr>
          <w:rFonts w:asciiTheme="minorHAnsi" w:hAnsiTheme="minorHAnsi"/>
          <w:sz w:val="24"/>
          <w:szCs w:val="24"/>
        </w:rPr>
        <w:t>,</w:t>
      </w:r>
      <w:r w:rsidR="000231E3" w:rsidRPr="00A374FC">
        <w:rPr>
          <w:rFonts w:asciiTheme="minorHAnsi" w:hAnsiTheme="minorHAnsi"/>
          <w:sz w:val="24"/>
          <w:szCs w:val="24"/>
        </w:rPr>
        <w:t xml:space="preserve"> vil bli i samsvar med budsjett. </w:t>
      </w:r>
      <w:r w:rsidR="00BE3754" w:rsidRPr="00A374FC">
        <w:rPr>
          <w:rFonts w:asciiTheme="minorHAnsi" w:hAnsiTheme="minorHAnsi"/>
          <w:sz w:val="24"/>
          <w:szCs w:val="24"/>
        </w:rPr>
        <w:t xml:space="preserve">Posten </w:t>
      </w:r>
      <w:r w:rsidR="00D237E1" w:rsidRPr="00A374FC">
        <w:rPr>
          <w:rFonts w:asciiTheme="minorHAnsi" w:hAnsiTheme="minorHAnsi"/>
          <w:sz w:val="24"/>
          <w:szCs w:val="24"/>
        </w:rPr>
        <w:t xml:space="preserve"> </w:t>
      </w:r>
      <w:r w:rsidR="00D237E1" w:rsidRPr="00A374FC">
        <w:rPr>
          <w:rFonts w:asciiTheme="minorHAnsi" w:hAnsiTheme="minorHAnsi"/>
          <w:sz w:val="24"/>
          <w:szCs w:val="24"/>
          <w:u w:val="single"/>
        </w:rPr>
        <w:t>«Prosjektmidler/PFF»</w:t>
      </w:r>
      <w:r w:rsidR="00D237E1" w:rsidRPr="00A374FC">
        <w:rPr>
          <w:rFonts w:asciiTheme="minorHAnsi" w:hAnsiTheme="minorHAnsi"/>
          <w:sz w:val="24"/>
          <w:szCs w:val="24"/>
        </w:rPr>
        <w:t xml:space="preserve"> er midler fra NRs vederlagsfond til dekning av deler av NRs andel av finansieringen av etikk- og offentlighetsarbeidet i NP, samt d</w:t>
      </w:r>
      <w:r w:rsidR="00BE3754" w:rsidRPr="00A374FC">
        <w:rPr>
          <w:rFonts w:asciiTheme="minorHAnsi" w:hAnsiTheme="minorHAnsi"/>
          <w:sz w:val="24"/>
          <w:szCs w:val="24"/>
        </w:rPr>
        <w:t>elfinansiering av NR Kompetanse. Der ligger det en ekstra inntekt på 118.000 kroner, som er PFFs dekning av utgifter i forbindelse med Redaktørhåndboken. Den ekstrainntekten må sees i sammenheng med overskridelsen på</w:t>
      </w:r>
      <w:r w:rsidR="001D1E12" w:rsidRPr="00A374FC">
        <w:rPr>
          <w:rFonts w:asciiTheme="minorHAnsi" w:hAnsiTheme="minorHAnsi"/>
          <w:sz w:val="24"/>
          <w:szCs w:val="24"/>
        </w:rPr>
        <w:t xml:space="preserve"> prosjektkostnadsposten </w:t>
      </w:r>
      <w:r w:rsidR="001D1E12" w:rsidRPr="00A374FC">
        <w:rPr>
          <w:rFonts w:asciiTheme="minorHAnsi" w:hAnsiTheme="minorHAnsi"/>
          <w:sz w:val="24"/>
          <w:szCs w:val="24"/>
          <w:u w:val="single"/>
        </w:rPr>
        <w:t>«Tiltak i handlingsplanen»</w:t>
      </w:r>
      <w:r w:rsidR="001D1E12" w:rsidRPr="00A374FC">
        <w:rPr>
          <w:rFonts w:asciiTheme="minorHAnsi" w:hAnsiTheme="minorHAnsi"/>
          <w:sz w:val="24"/>
          <w:szCs w:val="24"/>
        </w:rPr>
        <w:t>.</w:t>
      </w:r>
      <w:r w:rsidR="00BE3754" w:rsidRPr="00A374FC">
        <w:rPr>
          <w:rFonts w:asciiTheme="minorHAnsi" w:hAnsiTheme="minorHAnsi"/>
          <w:sz w:val="24"/>
          <w:szCs w:val="24"/>
        </w:rPr>
        <w:t xml:space="preserve"> </w:t>
      </w:r>
    </w:p>
    <w:p w:rsidR="001D1E12" w:rsidRPr="00A374FC" w:rsidRDefault="001D1E12" w:rsidP="000231E3">
      <w:pPr>
        <w:rPr>
          <w:rFonts w:asciiTheme="minorHAnsi" w:hAnsiTheme="minorHAnsi"/>
          <w:sz w:val="24"/>
          <w:szCs w:val="24"/>
        </w:rPr>
      </w:pPr>
    </w:p>
    <w:p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Posten </w:t>
      </w:r>
      <w:r w:rsidRPr="00A374FC">
        <w:rPr>
          <w:rFonts w:asciiTheme="minorHAnsi" w:hAnsiTheme="minorHAnsi"/>
          <w:sz w:val="24"/>
          <w:szCs w:val="24"/>
          <w:u w:val="single"/>
        </w:rPr>
        <w:t>møteinntekter</w:t>
      </w:r>
      <w:r w:rsidRPr="00A374FC">
        <w:rPr>
          <w:rFonts w:asciiTheme="minorHAnsi" w:hAnsiTheme="minorHAnsi"/>
          <w:sz w:val="24"/>
          <w:szCs w:val="24"/>
        </w:rPr>
        <w:t xml:space="preserve"> gjelder våre to ”stormøter”; vårmøtet og høstmøtet, samt kompetansekursene.</w:t>
      </w:r>
      <w:r w:rsidR="001D1E12" w:rsidRPr="00A374FC">
        <w:rPr>
          <w:rFonts w:asciiTheme="minorHAnsi" w:hAnsiTheme="minorHAnsi"/>
          <w:sz w:val="24"/>
          <w:szCs w:val="24"/>
        </w:rPr>
        <w:t xml:space="preserve"> Der er det, naturlig nok, ikke ført inntekter så langt. </w:t>
      </w:r>
      <w:r w:rsidR="00C41E8F" w:rsidRPr="00A374FC">
        <w:rPr>
          <w:rFonts w:asciiTheme="minorHAnsi" w:hAnsiTheme="minorHAnsi"/>
          <w:sz w:val="24"/>
          <w:szCs w:val="24"/>
        </w:rPr>
        <w:t xml:space="preserve"> </w:t>
      </w:r>
      <w:r w:rsidR="001D1E12" w:rsidRPr="00A374FC">
        <w:rPr>
          <w:rFonts w:asciiTheme="minorHAnsi" w:hAnsiTheme="minorHAnsi"/>
          <w:sz w:val="24"/>
          <w:szCs w:val="24"/>
        </w:rPr>
        <w:t>Posten «Andre inntekter» gjelder blant annet salg av bøker og skatteprogramvaren «Taxy». Inntektene fra sistnevnte kommer først sent i høst.</w:t>
      </w:r>
      <w:r w:rsidR="00C41E8F" w:rsidRPr="00A374FC">
        <w:rPr>
          <w:rFonts w:asciiTheme="minorHAnsi" w:hAnsiTheme="minorHAnsi"/>
          <w:sz w:val="24"/>
          <w:szCs w:val="24"/>
        </w:rPr>
        <w:t xml:space="preserve"> </w:t>
      </w:r>
      <w:r w:rsidR="00D237E1" w:rsidRPr="00A374FC">
        <w:rPr>
          <w:rFonts w:asciiTheme="minorHAnsi" w:hAnsiTheme="minorHAnsi"/>
          <w:sz w:val="24"/>
          <w:szCs w:val="24"/>
        </w:rPr>
        <w:t xml:space="preserve"> </w:t>
      </w:r>
    </w:p>
    <w:p w:rsidR="000231E3" w:rsidRPr="00A374FC" w:rsidRDefault="000231E3">
      <w:pPr>
        <w:rPr>
          <w:rFonts w:asciiTheme="minorHAnsi" w:hAnsiTheme="minorHAnsi"/>
          <w:sz w:val="24"/>
          <w:szCs w:val="24"/>
        </w:rPr>
      </w:pPr>
    </w:p>
    <w:p w:rsidR="000231E3" w:rsidRPr="00A374FC" w:rsidRDefault="000231E3" w:rsidP="000231E3">
      <w:pPr>
        <w:rPr>
          <w:rFonts w:asciiTheme="minorHAnsi" w:hAnsiTheme="minorHAnsi"/>
          <w:b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</w:rPr>
        <w:t>Utgifter</w:t>
      </w:r>
    </w:p>
    <w:p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>Utgiftene er fordelt på tre kapitler; prosjektkostnader, personalkostnader og driftskostnader.</w:t>
      </w:r>
    </w:p>
    <w:p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</w:p>
    <w:p w:rsidR="000231E3" w:rsidRPr="00A374FC" w:rsidRDefault="000231E3" w:rsidP="00D237E1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  <w:u w:val="single"/>
        </w:rPr>
        <w:t xml:space="preserve">Prosjektkostnadene 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D237E1" w:rsidRPr="00A374FC">
        <w:rPr>
          <w:rFonts w:asciiTheme="minorHAnsi" w:hAnsiTheme="minorHAnsi"/>
          <w:sz w:val="24"/>
          <w:szCs w:val="24"/>
        </w:rPr>
        <w:t>er det</w:t>
      </w:r>
      <w:r w:rsidR="00040F92" w:rsidRPr="00A374FC">
        <w:rPr>
          <w:rFonts w:asciiTheme="minorHAnsi" w:hAnsiTheme="minorHAnsi"/>
          <w:sz w:val="24"/>
          <w:szCs w:val="24"/>
        </w:rPr>
        <w:t xml:space="preserve"> </w:t>
      </w:r>
      <w:r w:rsidR="00D237E1" w:rsidRPr="00A374FC">
        <w:rPr>
          <w:rFonts w:asciiTheme="minorHAnsi" w:hAnsiTheme="minorHAnsi"/>
          <w:sz w:val="24"/>
          <w:szCs w:val="24"/>
        </w:rPr>
        <w:t xml:space="preserve">ingen </w:t>
      </w:r>
      <w:r w:rsidR="001D080E" w:rsidRPr="00A374FC">
        <w:rPr>
          <w:rFonts w:asciiTheme="minorHAnsi" w:hAnsiTheme="minorHAnsi"/>
          <w:sz w:val="24"/>
          <w:szCs w:val="24"/>
        </w:rPr>
        <w:t xml:space="preserve">store </w:t>
      </w:r>
      <w:r w:rsidR="00D237E1" w:rsidRPr="00A374FC">
        <w:rPr>
          <w:rFonts w:asciiTheme="minorHAnsi" w:hAnsiTheme="minorHAnsi"/>
          <w:sz w:val="24"/>
          <w:szCs w:val="24"/>
        </w:rPr>
        <w:t>overraskelser</w:t>
      </w:r>
      <w:r w:rsidR="00C41E8F" w:rsidRPr="00A374FC">
        <w:rPr>
          <w:rFonts w:asciiTheme="minorHAnsi" w:hAnsiTheme="minorHAnsi"/>
          <w:sz w:val="24"/>
          <w:szCs w:val="24"/>
        </w:rPr>
        <w:t xml:space="preserve"> knyttet til</w:t>
      </w:r>
      <w:r w:rsidR="00D237E1" w:rsidRPr="00A374FC">
        <w:rPr>
          <w:rFonts w:asciiTheme="minorHAnsi" w:hAnsiTheme="minorHAnsi"/>
          <w:sz w:val="24"/>
          <w:szCs w:val="24"/>
        </w:rPr>
        <w:t xml:space="preserve">. </w:t>
      </w:r>
      <w:r w:rsidR="00C41E8F" w:rsidRPr="00A374FC">
        <w:rPr>
          <w:rFonts w:asciiTheme="minorHAnsi" w:hAnsiTheme="minorHAnsi"/>
          <w:sz w:val="24"/>
          <w:szCs w:val="24"/>
        </w:rPr>
        <w:t xml:space="preserve">Fordi budsjettet er periodisert på alle poster, mens regnskapet ikke er det i samme grad, blir det noen utslag som ser pussige ut. For eksempel at posten </w:t>
      </w:r>
      <w:r w:rsidR="00040F92" w:rsidRPr="00A374FC">
        <w:rPr>
          <w:rFonts w:asciiTheme="minorHAnsi" w:hAnsiTheme="minorHAnsi"/>
          <w:sz w:val="24"/>
          <w:szCs w:val="24"/>
          <w:u w:val="single"/>
        </w:rPr>
        <w:t>"</w:t>
      </w:r>
      <w:r w:rsidR="00D237E1" w:rsidRPr="00A374FC">
        <w:rPr>
          <w:rFonts w:asciiTheme="minorHAnsi" w:hAnsiTheme="minorHAnsi"/>
          <w:sz w:val="24"/>
          <w:szCs w:val="24"/>
          <w:u w:val="single"/>
        </w:rPr>
        <w:t>Regionkontingenter</w:t>
      </w:r>
      <w:r w:rsidR="00040DC5" w:rsidRPr="00A374FC">
        <w:rPr>
          <w:rFonts w:asciiTheme="minorHAnsi" w:hAnsiTheme="minorHAnsi"/>
          <w:sz w:val="24"/>
          <w:szCs w:val="24"/>
          <w:u w:val="single"/>
        </w:rPr>
        <w:t>”</w:t>
      </w:r>
      <w:r w:rsidR="00D237E1" w:rsidRPr="00A374FC">
        <w:rPr>
          <w:rFonts w:asciiTheme="minorHAnsi" w:hAnsiTheme="minorHAnsi"/>
          <w:sz w:val="24"/>
          <w:szCs w:val="24"/>
        </w:rPr>
        <w:t xml:space="preserve"> tilsynelatende</w:t>
      </w:r>
      <w:r w:rsidR="00C41E8F" w:rsidRPr="00A374FC">
        <w:rPr>
          <w:rFonts w:asciiTheme="minorHAnsi" w:hAnsiTheme="minorHAnsi"/>
          <w:sz w:val="24"/>
          <w:szCs w:val="24"/>
        </w:rPr>
        <w:t xml:space="preserve"> er</w:t>
      </w:r>
      <w:r w:rsidR="00D237E1" w:rsidRPr="00A374FC">
        <w:rPr>
          <w:rFonts w:asciiTheme="minorHAnsi" w:hAnsiTheme="minorHAnsi"/>
          <w:sz w:val="24"/>
          <w:szCs w:val="24"/>
        </w:rPr>
        <w:t xml:space="preserve"> overskredet med</w:t>
      </w:r>
      <w:r w:rsidR="000F4B22" w:rsidRPr="00A374FC">
        <w:rPr>
          <w:rFonts w:asciiTheme="minorHAnsi" w:hAnsiTheme="minorHAnsi"/>
          <w:sz w:val="24"/>
          <w:szCs w:val="24"/>
        </w:rPr>
        <w:t xml:space="preserve"> </w:t>
      </w:r>
      <w:r w:rsidR="001D1E12" w:rsidRPr="00A374FC">
        <w:rPr>
          <w:rFonts w:asciiTheme="minorHAnsi" w:hAnsiTheme="minorHAnsi"/>
          <w:sz w:val="24"/>
          <w:szCs w:val="24"/>
        </w:rPr>
        <w:t>550</w:t>
      </w:r>
      <w:r w:rsidR="000F4B22" w:rsidRPr="00A374FC">
        <w:rPr>
          <w:rFonts w:asciiTheme="minorHAnsi" w:hAnsiTheme="minorHAnsi"/>
          <w:sz w:val="24"/>
          <w:szCs w:val="24"/>
        </w:rPr>
        <w:t xml:space="preserve">.000 kroner, sammenlignet med periodisert budsjett. Det </w:t>
      </w:r>
      <w:r w:rsidR="00D237E1" w:rsidRPr="00A374FC">
        <w:rPr>
          <w:rFonts w:asciiTheme="minorHAnsi" w:hAnsiTheme="minorHAnsi"/>
          <w:sz w:val="24"/>
          <w:szCs w:val="24"/>
        </w:rPr>
        <w:t xml:space="preserve">skyldes at vi har utbetalt </w:t>
      </w:r>
      <w:r w:rsidR="000F4B22" w:rsidRPr="00A374FC">
        <w:rPr>
          <w:rFonts w:asciiTheme="minorHAnsi" w:hAnsiTheme="minorHAnsi"/>
          <w:sz w:val="24"/>
          <w:szCs w:val="24"/>
        </w:rPr>
        <w:t>hele regionkontingenten</w:t>
      </w:r>
      <w:r w:rsidR="00D237E1" w:rsidRPr="00A374FC">
        <w:rPr>
          <w:rFonts w:asciiTheme="minorHAnsi" w:hAnsiTheme="minorHAnsi"/>
          <w:sz w:val="24"/>
          <w:szCs w:val="24"/>
        </w:rPr>
        <w:t xml:space="preserve"> i en runde</w:t>
      </w:r>
      <w:r w:rsidR="001D1E12" w:rsidRPr="00A374FC">
        <w:rPr>
          <w:rFonts w:asciiTheme="minorHAnsi" w:hAnsiTheme="minorHAnsi"/>
          <w:sz w:val="24"/>
          <w:szCs w:val="24"/>
        </w:rPr>
        <w:t>, med unntak av en mindre justering vi gjør til høsten.</w:t>
      </w:r>
      <w:r w:rsidR="000F4B22" w:rsidRPr="00A374FC">
        <w:rPr>
          <w:rFonts w:asciiTheme="minorHAnsi" w:hAnsiTheme="minorHAnsi"/>
          <w:sz w:val="24"/>
          <w:szCs w:val="24"/>
        </w:rPr>
        <w:t xml:space="preserve"> </w:t>
      </w:r>
      <w:r w:rsidR="001D1E12" w:rsidRPr="00A374FC">
        <w:rPr>
          <w:rFonts w:asciiTheme="minorHAnsi" w:hAnsiTheme="minorHAnsi"/>
          <w:sz w:val="24"/>
          <w:szCs w:val="24"/>
        </w:rPr>
        <w:t xml:space="preserve">Posten </w:t>
      </w:r>
      <w:r w:rsidR="001D1E12" w:rsidRPr="00A374FC">
        <w:rPr>
          <w:rFonts w:asciiTheme="minorHAnsi" w:hAnsiTheme="minorHAnsi"/>
          <w:sz w:val="24"/>
          <w:szCs w:val="24"/>
          <w:u w:val="single"/>
        </w:rPr>
        <w:t>«Tiltak i handlingsplanen»</w:t>
      </w:r>
      <w:r w:rsidR="001D1E12" w:rsidRPr="00A374FC">
        <w:rPr>
          <w:rFonts w:asciiTheme="minorHAnsi" w:hAnsiTheme="minorHAnsi"/>
          <w:sz w:val="24"/>
          <w:szCs w:val="24"/>
        </w:rPr>
        <w:t xml:space="preserve"> har en betydelig overskridelse, men det må altså sees i sammenheng med ekstrainntekten fra PFF på kr 118.000 kroner</w:t>
      </w:r>
      <w:r w:rsidR="005812B4" w:rsidRPr="00A374FC">
        <w:rPr>
          <w:rFonts w:asciiTheme="minorHAnsi" w:hAnsiTheme="minorHAnsi"/>
          <w:sz w:val="24"/>
          <w:szCs w:val="24"/>
        </w:rPr>
        <w:t>, som nevnt i inntektskapittelet</w:t>
      </w:r>
      <w:r w:rsidR="001D1E12" w:rsidRPr="00A374FC">
        <w:rPr>
          <w:rFonts w:asciiTheme="minorHAnsi" w:hAnsiTheme="minorHAnsi"/>
          <w:sz w:val="24"/>
          <w:szCs w:val="24"/>
        </w:rPr>
        <w:t xml:space="preserve">. </w:t>
      </w:r>
      <w:r w:rsidR="00042E7D" w:rsidRPr="00A374FC">
        <w:rPr>
          <w:rFonts w:asciiTheme="minorHAnsi" w:hAnsiTheme="minorHAnsi"/>
          <w:sz w:val="24"/>
          <w:szCs w:val="24"/>
          <w:u w:val="single"/>
        </w:rPr>
        <w:t>«Kostnader andre møter»</w:t>
      </w:r>
      <w:r w:rsidR="00042E7D" w:rsidRPr="00A374FC">
        <w:rPr>
          <w:rFonts w:asciiTheme="minorHAnsi" w:hAnsiTheme="minorHAnsi"/>
          <w:sz w:val="24"/>
          <w:szCs w:val="24"/>
        </w:rPr>
        <w:t xml:space="preserve"> har en betydelig overskridelse. Det skyldes primært svært høy aktivitet, med blant annet eget seminar om falske nyheter, samt at vi har </w:t>
      </w:r>
      <w:r w:rsidR="00042E7D" w:rsidRPr="00A374FC">
        <w:rPr>
          <w:rFonts w:asciiTheme="minorHAnsi" w:hAnsiTheme="minorHAnsi"/>
          <w:sz w:val="24"/>
          <w:szCs w:val="24"/>
        </w:rPr>
        <w:lastRenderedPageBreak/>
        <w:t>brukt mye eksterne krefter på NR Kompetanse og også eksperimentert med streaming av flere av modulene. Noe av dette vil vi trolig få igjen i form av økte inntekter, men det kan ligge an til en viss overskridelse på årsregnskapet.</w:t>
      </w:r>
    </w:p>
    <w:p w:rsidR="001D1E12" w:rsidRPr="00A374FC" w:rsidRDefault="001D1E12" w:rsidP="00D237E1">
      <w:pPr>
        <w:rPr>
          <w:rFonts w:asciiTheme="minorHAnsi" w:hAnsiTheme="minorHAnsi"/>
          <w:sz w:val="24"/>
          <w:szCs w:val="24"/>
        </w:rPr>
      </w:pPr>
    </w:p>
    <w:p w:rsidR="000231E3" w:rsidRPr="00A374FC" w:rsidRDefault="000231E3" w:rsidP="000231E3">
      <w:pPr>
        <w:rPr>
          <w:rFonts w:asciiTheme="minorHAnsi" w:hAnsiTheme="minorHAnsi"/>
          <w:color w:val="FF0000"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  <w:u w:val="single"/>
        </w:rPr>
        <w:t>Personalkostnadene</w:t>
      </w:r>
      <w:r w:rsidRPr="00A374FC">
        <w:rPr>
          <w:rFonts w:asciiTheme="minorHAnsi" w:hAnsiTheme="minorHAnsi"/>
          <w:sz w:val="24"/>
          <w:szCs w:val="24"/>
        </w:rPr>
        <w:t xml:space="preserve"> er i sum </w:t>
      </w:r>
      <w:r w:rsidR="000F4B22" w:rsidRPr="00A374FC">
        <w:rPr>
          <w:rFonts w:asciiTheme="minorHAnsi" w:hAnsiTheme="minorHAnsi"/>
          <w:sz w:val="24"/>
          <w:szCs w:val="24"/>
        </w:rPr>
        <w:t xml:space="preserve">nesten </w:t>
      </w:r>
      <w:r w:rsidR="005812B4" w:rsidRPr="00A374FC">
        <w:rPr>
          <w:rFonts w:asciiTheme="minorHAnsi" w:hAnsiTheme="minorHAnsi"/>
          <w:sz w:val="24"/>
          <w:szCs w:val="24"/>
        </w:rPr>
        <w:t>50</w:t>
      </w:r>
      <w:r w:rsidRPr="00A374FC">
        <w:rPr>
          <w:rFonts w:asciiTheme="minorHAnsi" w:hAnsiTheme="minorHAnsi"/>
          <w:sz w:val="24"/>
          <w:szCs w:val="24"/>
        </w:rPr>
        <w:t>.000 kroner lavere enn budsjettert.</w:t>
      </w:r>
      <w:r w:rsidR="000F4B22" w:rsidRPr="00A374FC">
        <w:rPr>
          <w:rFonts w:asciiTheme="minorHAnsi" w:hAnsiTheme="minorHAnsi"/>
          <w:sz w:val="24"/>
          <w:szCs w:val="24"/>
        </w:rPr>
        <w:t xml:space="preserve"> Det skyldes primært at lønnskostnadene </w:t>
      </w:r>
      <w:r w:rsidR="005812B4" w:rsidRPr="00A374FC">
        <w:rPr>
          <w:rFonts w:asciiTheme="minorHAnsi" w:hAnsiTheme="minorHAnsi"/>
          <w:sz w:val="24"/>
          <w:szCs w:val="24"/>
        </w:rPr>
        <w:t>er 40.000 under budsjett</w:t>
      </w:r>
      <w:r w:rsidR="006900D3" w:rsidRPr="00A374FC">
        <w:rPr>
          <w:rFonts w:asciiTheme="minorHAnsi" w:hAnsiTheme="minorHAnsi"/>
          <w:sz w:val="24"/>
          <w:szCs w:val="24"/>
        </w:rPr>
        <w:t>.</w:t>
      </w:r>
    </w:p>
    <w:p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</w:p>
    <w:p w:rsidR="000231E3" w:rsidRPr="00A374FC" w:rsidRDefault="000231E3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  <w:u w:val="single"/>
        </w:rPr>
        <w:t>Driftskostnadene</w:t>
      </w:r>
      <w:r w:rsidRPr="00A374FC">
        <w:rPr>
          <w:rFonts w:asciiTheme="minorHAnsi" w:hAnsiTheme="minorHAnsi"/>
          <w:sz w:val="24"/>
          <w:szCs w:val="24"/>
        </w:rPr>
        <w:t xml:space="preserve"> er i store trekk i samsvar med budsjett, </w:t>
      </w:r>
      <w:r w:rsidR="00042E7D" w:rsidRPr="00A374FC">
        <w:rPr>
          <w:rFonts w:asciiTheme="minorHAnsi" w:hAnsiTheme="minorHAnsi"/>
          <w:sz w:val="24"/>
          <w:szCs w:val="24"/>
        </w:rPr>
        <w:t xml:space="preserve">men vi har noen avvik. </w:t>
      </w:r>
      <w:r w:rsidR="00042E7D" w:rsidRPr="00A374FC">
        <w:rPr>
          <w:rFonts w:asciiTheme="minorHAnsi" w:hAnsiTheme="minorHAnsi"/>
          <w:sz w:val="24"/>
          <w:szCs w:val="24"/>
          <w:u w:val="single"/>
        </w:rPr>
        <w:t xml:space="preserve">«Fremmede tjenester» </w:t>
      </w:r>
      <w:r w:rsidR="00042E7D" w:rsidRPr="00A374FC">
        <w:rPr>
          <w:rFonts w:asciiTheme="minorHAnsi" w:hAnsiTheme="minorHAnsi"/>
          <w:sz w:val="24"/>
          <w:szCs w:val="24"/>
        </w:rPr>
        <w:t xml:space="preserve">ligger godt under budsjett. Dette vil nok utjevne seg noe gjennom året, men vi har et håp om å redusere kostnadene til regnskapsførsel noe, i forbindelse med innføringen av </w:t>
      </w:r>
      <w:r w:rsidR="00C241C8" w:rsidRPr="00A374FC">
        <w:rPr>
          <w:rFonts w:asciiTheme="minorHAnsi" w:hAnsiTheme="minorHAnsi"/>
          <w:sz w:val="24"/>
          <w:szCs w:val="24"/>
        </w:rPr>
        <w:t>et nytt skybasert regnskaps</w:t>
      </w:r>
      <w:r w:rsidR="00042E7D" w:rsidRPr="00A374FC">
        <w:rPr>
          <w:rFonts w:asciiTheme="minorHAnsi" w:hAnsiTheme="minorHAnsi"/>
          <w:sz w:val="24"/>
          <w:szCs w:val="24"/>
        </w:rPr>
        <w:t xml:space="preserve">system. </w:t>
      </w:r>
    </w:p>
    <w:p w:rsidR="00042E7D" w:rsidRPr="00A374FC" w:rsidRDefault="00042E7D" w:rsidP="000231E3">
      <w:pPr>
        <w:rPr>
          <w:rFonts w:asciiTheme="minorHAnsi" w:hAnsiTheme="minorHAnsi"/>
          <w:sz w:val="24"/>
          <w:szCs w:val="24"/>
        </w:rPr>
      </w:pPr>
    </w:p>
    <w:p w:rsidR="00A66998" w:rsidRPr="00A374FC" w:rsidRDefault="00A46DD5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  <w:u w:val="single"/>
        </w:rPr>
        <w:t>Kontorkostnadene</w:t>
      </w:r>
      <w:r w:rsidRPr="00A374FC">
        <w:rPr>
          <w:rFonts w:asciiTheme="minorHAnsi" w:hAnsiTheme="minorHAnsi"/>
          <w:sz w:val="24"/>
          <w:szCs w:val="24"/>
        </w:rPr>
        <w:t xml:space="preserve"> er </w:t>
      </w:r>
      <w:r w:rsidR="00A66998" w:rsidRPr="00A374FC">
        <w:rPr>
          <w:rFonts w:asciiTheme="minorHAnsi" w:hAnsiTheme="minorHAnsi"/>
          <w:sz w:val="24"/>
          <w:szCs w:val="24"/>
        </w:rPr>
        <w:t>høyere enn budsjettert</w:t>
      </w:r>
      <w:r w:rsidR="00042E7D" w:rsidRPr="00A374FC">
        <w:rPr>
          <w:rFonts w:asciiTheme="minorHAnsi" w:hAnsiTheme="minorHAnsi"/>
          <w:sz w:val="24"/>
          <w:szCs w:val="24"/>
        </w:rPr>
        <w:t>. Det skyldes primært kostnader knyttet til implementering av ny officepakke</w:t>
      </w:r>
      <w:r w:rsidR="00C241C8" w:rsidRPr="00A374FC">
        <w:rPr>
          <w:rFonts w:asciiTheme="minorHAnsi" w:hAnsiTheme="minorHAnsi"/>
          <w:sz w:val="24"/>
          <w:szCs w:val="24"/>
        </w:rPr>
        <w:t xml:space="preserve">. </w:t>
      </w:r>
      <w:r w:rsidR="00C241C8" w:rsidRPr="00A374FC">
        <w:rPr>
          <w:rFonts w:asciiTheme="minorHAnsi" w:hAnsiTheme="minorHAnsi"/>
          <w:sz w:val="24"/>
          <w:szCs w:val="24"/>
          <w:u w:val="single"/>
        </w:rPr>
        <w:t>Kurskostnader</w:t>
      </w:r>
      <w:r w:rsidR="00C241C8" w:rsidRPr="00A374FC">
        <w:rPr>
          <w:rFonts w:asciiTheme="minorHAnsi" w:hAnsiTheme="minorHAnsi"/>
          <w:sz w:val="24"/>
          <w:szCs w:val="24"/>
        </w:rPr>
        <w:t xml:space="preserve"> ligger over budsjett, men akiviteten er betydelig høyere i vårhalvåret enn i høsthalvåret, så trolig vil havne ganske nær det budsjetterte.</w:t>
      </w:r>
    </w:p>
    <w:p w:rsidR="00507ADE" w:rsidRPr="00A374FC" w:rsidRDefault="00507ADE" w:rsidP="000231E3">
      <w:pPr>
        <w:rPr>
          <w:rFonts w:asciiTheme="minorHAnsi" w:hAnsiTheme="minorHAnsi"/>
          <w:sz w:val="24"/>
          <w:szCs w:val="24"/>
        </w:rPr>
      </w:pPr>
    </w:p>
    <w:p w:rsidR="00507ADE" w:rsidRPr="00A374FC" w:rsidRDefault="00507ADE" w:rsidP="000231E3">
      <w:pPr>
        <w:rPr>
          <w:rFonts w:asciiTheme="minorHAnsi" w:hAnsiTheme="minorHAnsi"/>
          <w:sz w:val="24"/>
          <w:szCs w:val="24"/>
        </w:rPr>
      </w:pPr>
    </w:p>
    <w:p w:rsidR="00507ADE" w:rsidRPr="00A374FC" w:rsidRDefault="00507ADE" w:rsidP="000231E3">
      <w:pPr>
        <w:rPr>
          <w:rFonts w:asciiTheme="minorHAnsi" w:hAnsiTheme="minorHAnsi"/>
          <w:sz w:val="24"/>
          <w:szCs w:val="24"/>
          <w:u w:val="single"/>
        </w:rPr>
      </w:pPr>
    </w:p>
    <w:p w:rsidR="000231E3" w:rsidRPr="00A374FC" w:rsidRDefault="000231E3" w:rsidP="000231E3">
      <w:pPr>
        <w:jc w:val="center"/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>***</w:t>
      </w:r>
    </w:p>
    <w:p w:rsidR="000231E3" w:rsidRPr="00A374FC" w:rsidRDefault="000231E3" w:rsidP="000231E3">
      <w:pPr>
        <w:jc w:val="center"/>
        <w:rPr>
          <w:rFonts w:asciiTheme="minorHAnsi" w:hAnsiTheme="minorHAnsi"/>
          <w:sz w:val="24"/>
          <w:szCs w:val="24"/>
        </w:rPr>
      </w:pPr>
    </w:p>
    <w:p w:rsidR="000B6F26" w:rsidRPr="00A374FC" w:rsidRDefault="002B3A01" w:rsidP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Regnskapet viser </w:t>
      </w:r>
      <w:r w:rsidR="000B6F26" w:rsidRPr="00A374FC">
        <w:rPr>
          <w:rFonts w:asciiTheme="minorHAnsi" w:hAnsiTheme="minorHAnsi"/>
          <w:sz w:val="24"/>
          <w:szCs w:val="24"/>
        </w:rPr>
        <w:t xml:space="preserve">i følge tabelloppstillingen </w:t>
      </w:r>
      <w:r w:rsidRPr="00A374FC">
        <w:rPr>
          <w:rFonts w:asciiTheme="minorHAnsi" w:hAnsiTheme="minorHAnsi"/>
          <w:sz w:val="24"/>
          <w:szCs w:val="24"/>
        </w:rPr>
        <w:t xml:space="preserve">et </w:t>
      </w:r>
      <w:r w:rsidR="00A374FC" w:rsidRPr="00A374FC">
        <w:rPr>
          <w:rFonts w:asciiTheme="minorHAnsi" w:hAnsiTheme="minorHAnsi"/>
          <w:sz w:val="24"/>
          <w:szCs w:val="24"/>
        </w:rPr>
        <w:t>underskudd</w:t>
      </w:r>
      <w:r w:rsidR="00507ADE" w:rsidRPr="00A374FC">
        <w:rPr>
          <w:rFonts w:asciiTheme="minorHAnsi" w:hAnsiTheme="minorHAnsi"/>
          <w:sz w:val="24"/>
          <w:szCs w:val="24"/>
        </w:rPr>
        <w:t xml:space="preserve"> per utgangen av på </w:t>
      </w:r>
      <w:r w:rsidR="000B6F26" w:rsidRPr="00A374FC">
        <w:rPr>
          <w:rFonts w:asciiTheme="minorHAnsi" w:hAnsiTheme="minorHAnsi"/>
          <w:sz w:val="24"/>
          <w:szCs w:val="24"/>
        </w:rPr>
        <w:t xml:space="preserve">kr </w:t>
      </w:r>
      <w:r w:rsidR="00A374FC" w:rsidRPr="00A374FC">
        <w:rPr>
          <w:rFonts w:asciiTheme="minorHAnsi" w:hAnsiTheme="minorHAnsi"/>
          <w:sz w:val="24"/>
          <w:szCs w:val="24"/>
        </w:rPr>
        <w:t>593.789</w:t>
      </w:r>
      <w:r w:rsidR="000B6F26" w:rsidRPr="00A374FC">
        <w:rPr>
          <w:rFonts w:asciiTheme="minorHAnsi" w:hAnsiTheme="minorHAnsi"/>
          <w:sz w:val="24"/>
          <w:szCs w:val="24"/>
        </w:rPr>
        <w:t xml:space="preserve"> mot et </w:t>
      </w:r>
      <w:r w:rsidR="005E438C" w:rsidRPr="00A374FC">
        <w:rPr>
          <w:rFonts w:asciiTheme="minorHAnsi" w:hAnsiTheme="minorHAnsi"/>
          <w:sz w:val="24"/>
          <w:szCs w:val="24"/>
        </w:rPr>
        <w:t>"</w:t>
      </w:r>
      <w:r w:rsidR="000B6F26" w:rsidRPr="00A374FC">
        <w:rPr>
          <w:rFonts w:asciiTheme="minorHAnsi" w:hAnsiTheme="minorHAnsi"/>
          <w:sz w:val="24"/>
          <w:szCs w:val="24"/>
        </w:rPr>
        <w:t>bu</w:t>
      </w:r>
      <w:r w:rsidRPr="00A374FC">
        <w:rPr>
          <w:rFonts w:asciiTheme="minorHAnsi" w:hAnsiTheme="minorHAnsi"/>
          <w:sz w:val="24"/>
          <w:szCs w:val="24"/>
        </w:rPr>
        <w:t xml:space="preserve">dsjettert” </w:t>
      </w:r>
      <w:r w:rsidR="00A374FC" w:rsidRPr="00A374FC">
        <w:rPr>
          <w:rFonts w:asciiTheme="minorHAnsi" w:hAnsiTheme="minorHAnsi"/>
          <w:sz w:val="24"/>
          <w:szCs w:val="24"/>
        </w:rPr>
        <w:t>over</w:t>
      </w:r>
      <w:r w:rsidRPr="00A374FC">
        <w:rPr>
          <w:rFonts w:asciiTheme="minorHAnsi" w:hAnsiTheme="minorHAnsi"/>
          <w:sz w:val="24"/>
          <w:szCs w:val="24"/>
        </w:rPr>
        <w:t xml:space="preserve">skudd på kr </w:t>
      </w:r>
      <w:r w:rsidR="00A374FC" w:rsidRPr="00A374FC">
        <w:rPr>
          <w:rFonts w:asciiTheme="minorHAnsi" w:hAnsiTheme="minorHAnsi"/>
          <w:sz w:val="24"/>
          <w:szCs w:val="24"/>
        </w:rPr>
        <w:t>35.625</w:t>
      </w:r>
      <w:r w:rsidRPr="00A374FC">
        <w:rPr>
          <w:rFonts w:asciiTheme="minorHAnsi" w:hAnsiTheme="minorHAnsi"/>
          <w:sz w:val="24"/>
          <w:szCs w:val="24"/>
        </w:rPr>
        <w:t xml:space="preserve">. </w:t>
      </w:r>
    </w:p>
    <w:p w:rsidR="000231E3" w:rsidRPr="00A374FC" w:rsidRDefault="000231E3">
      <w:pPr>
        <w:rPr>
          <w:rFonts w:asciiTheme="minorHAnsi" w:hAnsiTheme="minorHAnsi"/>
          <w:b/>
          <w:sz w:val="24"/>
          <w:szCs w:val="24"/>
        </w:rPr>
      </w:pPr>
    </w:p>
    <w:p w:rsidR="00407FD3" w:rsidRPr="00A374FC" w:rsidRDefault="00407FD3">
      <w:pPr>
        <w:rPr>
          <w:rFonts w:asciiTheme="minorHAnsi" w:hAnsiTheme="minorHAnsi"/>
          <w:sz w:val="24"/>
          <w:szCs w:val="24"/>
        </w:rPr>
      </w:pPr>
    </w:p>
    <w:p w:rsidR="006A3D33" w:rsidRPr="00A374FC" w:rsidRDefault="00305710">
      <w:pPr>
        <w:rPr>
          <w:rFonts w:asciiTheme="minorHAnsi" w:hAnsiTheme="minorHAnsi"/>
          <w:sz w:val="24"/>
          <w:szCs w:val="24"/>
          <w:u w:val="single"/>
        </w:rPr>
      </w:pPr>
      <w:r w:rsidRPr="00A374FC">
        <w:rPr>
          <w:rFonts w:asciiTheme="minorHAnsi" w:hAnsiTheme="minorHAnsi"/>
          <w:sz w:val="24"/>
          <w:szCs w:val="24"/>
          <w:u w:val="single"/>
        </w:rPr>
        <w:t>Forslag til vedtak:</w:t>
      </w:r>
    </w:p>
    <w:p w:rsidR="008E78DE" w:rsidRPr="00A374FC" w:rsidRDefault="000231E3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>Regnskapsrapporten per 3</w:t>
      </w:r>
      <w:r w:rsidR="00507ADE" w:rsidRPr="00A374FC">
        <w:rPr>
          <w:rFonts w:asciiTheme="minorHAnsi" w:hAnsiTheme="minorHAnsi"/>
          <w:sz w:val="24"/>
          <w:szCs w:val="24"/>
        </w:rPr>
        <w:t>1</w:t>
      </w:r>
      <w:r w:rsidRPr="00A374FC">
        <w:rPr>
          <w:rFonts w:asciiTheme="minorHAnsi" w:hAnsiTheme="minorHAnsi"/>
          <w:sz w:val="24"/>
          <w:szCs w:val="24"/>
        </w:rPr>
        <w:t xml:space="preserve">. </w:t>
      </w:r>
      <w:r w:rsidR="00A374FC" w:rsidRPr="00A374FC">
        <w:rPr>
          <w:rFonts w:asciiTheme="minorHAnsi" w:hAnsiTheme="minorHAnsi"/>
          <w:sz w:val="24"/>
          <w:szCs w:val="24"/>
        </w:rPr>
        <w:t>mai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8E78DE" w:rsidRPr="00A374FC">
        <w:rPr>
          <w:rFonts w:asciiTheme="minorHAnsi" w:hAnsiTheme="minorHAnsi"/>
          <w:sz w:val="24"/>
          <w:szCs w:val="24"/>
        </w:rPr>
        <w:t>tas til orientering.</w:t>
      </w:r>
    </w:p>
    <w:p w:rsidR="001C3607" w:rsidRPr="00A374FC" w:rsidRDefault="001C3607">
      <w:pPr>
        <w:rPr>
          <w:rFonts w:asciiTheme="minorHAnsi" w:hAnsiTheme="minorHAnsi"/>
          <w:sz w:val="24"/>
          <w:szCs w:val="24"/>
        </w:rPr>
      </w:pPr>
    </w:p>
    <w:p w:rsidR="000231E3" w:rsidRPr="00A374FC" w:rsidRDefault="000231E3">
      <w:pPr>
        <w:rPr>
          <w:rFonts w:asciiTheme="minorHAnsi" w:hAnsiTheme="minorHAnsi"/>
          <w:sz w:val="24"/>
          <w:szCs w:val="24"/>
        </w:rPr>
      </w:pPr>
    </w:p>
    <w:p w:rsidR="000231E3" w:rsidRPr="00A374FC" w:rsidRDefault="000231E3">
      <w:pPr>
        <w:rPr>
          <w:rFonts w:asciiTheme="minorHAnsi" w:hAnsiTheme="minorHAnsi"/>
          <w:sz w:val="24"/>
          <w:szCs w:val="24"/>
        </w:rPr>
      </w:pPr>
    </w:p>
    <w:p w:rsidR="003C5500" w:rsidRPr="00A374FC" w:rsidRDefault="001C3607">
      <w:pPr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  <w:u w:val="single"/>
        </w:rPr>
        <w:t>Vedlegg</w:t>
      </w:r>
      <w:r w:rsidRPr="00A374FC">
        <w:rPr>
          <w:rFonts w:asciiTheme="minorHAnsi" w:hAnsiTheme="minorHAnsi"/>
          <w:sz w:val="24"/>
          <w:szCs w:val="24"/>
        </w:rPr>
        <w:t xml:space="preserve">: Regnskapsoppstilling og balanse </w:t>
      </w:r>
    </w:p>
    <w:p w:rsidR="003C5500" w:rsidRPr="00A374FC" w:rsidRDefault="003C5500">
      <w:pPr>
        <w:rPr>
          <w:rFonts w:asciiTheme="minorHAnsi" w:hAnsiTheme="minorHAnsi"/>
          <w:sz w:val="24"/>
          <w:szCs w:val="24"/>
        </w:rPr>
      </w:pPr>
    </w:p>
    <w:p w:rsidR="003C5500" w:rsidRPr="00A374FC" w:rsidRDefault="003C5500">
      <w:pPr>
        <w:rPr>
          <w:rFonts w:asciiTheme="minorHAnsi" w:hAnsiTheme="minorHAnsi"/>
          <w:sz w:val="24"/>
          <w:szCs w:val="24"/>
        </w:rPr>
      </w:pPr>
    </w:p>
    <w:p w:rsidR="000231E3" w:rsidRPr="000231E3" w:rsidRDefault="000231E3">
      <w:pPr>
        <w:rPr>
          <w:rFonts w:ascii="Times New Roman" w:hAnsi="Times New Roman"/>
          <w:sz w:val="24"/>
          <w:szCs w:val="24"/>
        </w:rPr>
      </w:pPr>
    </w:p>
    <w:p w:rsidR="000231E3" w:rsidRDefault="000231E3">
      <w:pPr>
        <w:rPr>
          <w:rFonts w:ascii="Times New Roman" w:hAnsi="Times New Roman"/>
          <w:sz w:val="24"/>
          <w:szCs w:val="24"/>
        </w:rPr>
      </w:pPr>
    </w:p>
    <w:p w:rsidR="00C241C8" w:rsidRDefault="00C241C8">
      <w:pPr>
        <w:rPr>
          <w:rFonts w:ascii="Times New Roman" w:hAnsi="Times New Roman"/>
          <w:sz w:val="24"/>
          <w:szCs w:val="24"/>
        </w:rPr>
      </w:pPr>
    </w:p>
    <w:p w:rsidR="00C241C8" w:rsidRDefault="00C241C8">
      <w:pPr>
        <w:rPr>
          <w:rFonts w:ascii="Times New Roman" w:hAnsi="Times New Roman"/>
          <w:sz w:val="24"/>
          <w:szCs w:val="24"/>
        </w:rPr>
      </w:pPr>
    </w:p>
    <w:p w:rsidR="00C241C8" w:rsidRDefault="00C241C8">
      <w:pPr>
        <w:rPr>
          <w:rFonts w:ascii="Times New Roman" w:hAnsi="Times New Roman"/>
          <w:sz w:val="24"/>
          <w:szCs w:val="24"/>
        </w:rPr>
      </w:pPr>
    </w:p>
    <w:p w:rsidR="00C241C8" w:rsidRDefault="00C241C8">
      <w:pPr>
        <w:rPr>
          <w:rFonts w:ascii="Times New Roman" w:hAnsi="Times New Roman"/>
          <w:sz w:val="24"/>
          <w:szCs w:val="24"/>
        </w:rPr>
      </w:pPr>
    </w:p>
    <w:p w:rsidR="00C241C8" w:rsidRDefault="00C241C8">
      <w:pPr>
        <w:rPr>
          <w:rFonts w:ascii="Times New Roman" w:hAnsi="Times New Roman"/>
          <w:sz w:val="24"/>
          <w:szCs w:val="24"/>
        </w:rPr>
      </w:pPr>
    </w:p>
    <w:p w:rsidR="00C241C8" w:rsidRDefault="00C241C8">
      <w:pPr>
        <w:rPr>
          <w:rFonts w:ascii="Times New Roman" w:hAnsi="Times New Roman"/>
          <w:sz w:val="24"/>
          <w:szCs w:val="24"/>
        </w:rPr>
      </w:pPr>
    </w:p>
    <w:p w:rsidR="00C241C8" w:rsidRDefault="00C241C8">
      <w:pPr>
        <w:rPr>
          <w:rFonts w:ascii="Times New Roman" w:hAnsi="Times New Roman"/>
          <w:sz w:val="24"/>
          <w:szCs w:val="24"/>
        </w:rPr>
      </w:pPr>
    </w:p>
    <w:p w:rsidR="00C241C8" w:rsidRDefault="00C241C8">
      <w:pPr>
        <w:rPr>
          <w:rFonts w:ascii="Times New Roman" w:hAnsi="Times New Roman"/>
          <w:sz w:val="24"/>
          <w:szCs w:val="24"/>
        </w:rPr>
      </w:pPr>
    </w:p>
    <w:p w:rsidR="00C241C8" w:rsidRDefault="00C241C8">
      <w:pPr>
        <w:rPr>
          <w:rFonts w:ascii="Times New Roman" w:hAnsi="Times New Roman"/>
          <w:sz w:val="24"/>
          <w:szCs w:val="24"/>
        </w:rPr>
      </w:pPr>
    </w:p>
    <w:p w:rsidR="00C241C8" w:rsidRDefault="00C241C8">
      <w:pPr>
        <w:rPr>
          <w:rFonts w:ascii="Times New Roman" w:hAnsi="Times New Roman"/>
          <w:sz w:val="24"/>
          <w:szCs w:val="24"/>
        </w:rPr>
      </w:pPr>
    </w:p>
    <w:p w:rsidR="00C241C8" w:rsidRDefault="00C241C8">
      <w:pPr>
        <w:rPr>
          <w:rFonts w:ascii="Times New Roman" w:hAnsi="Times New Roman"/>
          <w:sz w:val="24"/>
          <w:szCs w:val="24"/>
        </w:rPr>
      </w:pPr>
    </w:p>
    <w:p w:rsidR="00C241C8" w:rsidRDefault="00C241C8">
      <w:pPr>
        <w:rPr>
          <w:rFonts w:ascii="Times New Roman" w:hAnsi="Times New Roman"/>
          <w:sz w:val="24"/>
          <w:szCs w:val="24"/>
        </w:rPr>
      </w:pPr>
    </w:p>
    <w:p w:rsidR="00C241C8" w:rsidRDefault="00C241C8">
      <w:pPr>
        <w:rPr>
          <w:rFonts w:ascii="Times New Roman" w:hAnsi="Times New Roman"/>
          <w:sz w:val="24"/>
          <w:szCs w:val="24"/>
        </w:rPr>
      </w:pPr>
    </w:p>
    <w:p w:rsidR="00C241C8" w:rsidRDefault="00C241C8">
      <w:pPr>
        <w:rPr>
          <w:rFonts w:ascii="Times New Roman" w:hAnsi="Times New Roman"/>
          <w:sz w:val="24"/>
          <w:szCs w:val="24"/>
        </w:rPr>
      </w:pPr>
    </w:p>
    <w:p w:rsidR="00C241C8" w:rsidRDefault="00C241C8">
      <w:pPr>
        <w:rPr>
          <w:rFonts w:ascii="Times New Roman" w:hAnsi="Times New Roman"/>
          <w:sz w:val="24"/>
          <w:szCs w:val="24"/>
        </w:rPr>
      </w:pPr>
    </w:p>
    <w:p w:rsidR="00C241C8" w:rsidRDefault="00C241C8">
      <w:pPr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417"/>
        <w:gridCol w:w="1418"/>
        <w:gridCol w:w="1275"/>
        <w:gridCol w:w="1276"/>
        <w:gridCol w:w="1276"/>
      </w:tblGrid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lastRenderedPageBreak/>
              <w:t>Norsk Redaktørforening</w:t>
            </w:r>
            <w:r w:rsid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31. mai 2017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shd w:val="clear" w:color="000000" w:fill="D8E4BC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417" w:type="dxa"/>
            <w:shd w:val="clear" w:color="000000" w:fill="D8E4BC"/>
            <w:noWrap/>
            <w:vAlign w:val="bottom"/>
            <w:hideMark/>
          </w:tcPr>
          <w:p w:rsidR="00FA5DEF" w:rsidRPr="00A374FC" w:rsidRDefault="00FA5DEF" w:rsidP="00FA5DEF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Virkelig</w:t>
            </w:r>
          </w:p>
        </w:tc>
        <w:tc>
          <w:tcPr>
            <w:tcW w:w="1418" w:type="dxa"/>
            <w:shd w:val="clear" w:color="000000" w:fill="D8E4BC"/>
            <w:noWrap/>
            <w:vAlign w:val="bottom"/>
            <w:hideMark/>
          </w:tcPr>
          <w:p w:rsidR="00FA5DEF" w:rsidRPr="00A374FC" w:rsidRDefault="00FA5DEF" w:rsidP="00FA5DEF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Budsjett</w:t>
            </w:r>
          </w:p>
        </w:tc>
        <w:tc>
          <w:tcPr>
            <w:tcW w:w="1275" w:type="dxa"/>
            <w:shd w:val="clear" w:color="000000" w:fill="D8E4BC"/>
            <w:noWrap/>
            <w:vAlign w:val="bottom"/>
            <w:hideMark/>
          </w:tcPr>
          <w:p w:rsidR="00FA5DEF" w:rsidRPr="00A374FC" w:rsidRDefault="00FA5DEF" w:rsidP="00FA5DEF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Avvik</w:t>
            </w:r>
          </w:p>
        </w:tc>
        <w:tc>
          <w:tcPr>
            <w:tcW w:w="1276" w:type="dxa"/>
            <w:shd w:val="clear" w:color="000000" w:fill="D8E4BC"/>
            <w:noWrap/>
            <w:vAlign w:val="bottom"/>
            <w:hideMark/>
          </w:tcPr>
          <w:p w:rsidR="00FA5DEF" w:rsidRPr="00A374FC" w:rsidRDefault="00FA5DEF" w:rsidP="00FA5DEF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Busdjett</w:t>
            </w:r>
          </w:p>
        </w:tc>
        <w:tc>
          <w:tcPr>
            <w:tcW w:w="1276" w:type="dxa"/>
            <w:shd w:val="clear" w:color="000000" w:fill="D8E4BC"/>
            <w:noWrap/>
            <w:vAlign w:val="bottom"/>
            <w:hideMark/>
          </w:tcPr>
          <w:p w:rsidR="00FA5DEF" w:rsidRPr="00A374FC" w:rsidRDefault="00FA5DEF" w:rsidP="00FA5DEF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Fjorår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shd w:val="clear" w:color="000000" w:fill="D8E4BC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INNTEKTER</w:t>
            </w:r>
          </w:p>
        </w:tc>
        <w:tc>
          <w:tcPr>
            <w:tcW w:w="1417" w:type="dxa"/>
            <w:shd w:val="clear" w:color="000000" w:fill="D8E4BC"/>
            <w:noWrap/>
            <w:vAlign w:val="bottom"/>
            <w:hideMark/>
          </w:tcPr>
          <w:p w:rsidR="00FA5DEF" w:rsidRPr="00A374FC" w:rsidRDefault="00FA5DEF" w:rsidP="00FA5DEF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31.05.2017</w:t>
            </w:r>
          </w:p>
        </w:tc>
        <w:tc>
          <w:tcPr>
            <w:tcW w:w="1418" w:type="dxa"/>
            <w:shd w:val="clear" w:color="000000" w:fill="D8E4BC"/>
            <w:noWrap/>
            <w:vAlign w:val="bottom"/>
            <w:hideMark/>
          </w:tcPr>
          <w:p w:rsidR="00FA5DEF" w:rsidRPr="00A374FC" w:rsidRDefault="00FA5DEF" w:rsidP="00FA5DEF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31.05.2017</w:t>
            </w:r>
          </w:p>
        </w:tc>
        <w:tc>
          <w:tcPr>
            <w:tcW w:w="1275" w:type="dxa"/>
            <w:shd w:val="clear" w:color="000000" w:fill="D8E4BC"/>
            <w:noWrap/>
            <w:vAlign w:val="bottom"/>
            <w:hideMark/>
          </w:tcPr>
          <w:p w:rsidR="00FA5DEF" w:rsidRPr="00A374FC" w:rsidRDefault="00FA5DEF" w:rsidP="00FA5DEF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31.05.2017</w:t>
            </w:r>
          </w:p>
        </w:tc>
        <w:tc>
          <w:tcPr>
            <w:tcW w:w="1276" w:type="dxa"/>
            <w:shd w:val="clear" w:color="000000" w:fill="D8E4BC"/>
            <w:noWrap/>
            <w:vAlign w:val="bottom"/>
            <w:hideMark/>
          </w:tcPr>
          <w:p w:rsidR="00FA5DEF" w:rsidRPr="00A374FC" w:rsidRDefault="00FA5DEF" w:rsidP="00FA5DEF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2017</w:t>
            </w:r>
          </w:p>
        </w:tc>
        <w:tc>
          <w:tcPr>
            <w:tcW w:w="1276" w:type="dxa"/>
            <w:shd w:val="clear" w:color="000000" w:fill="D8E4BC"/>
            <w:noWrap/>
            <w:vAlign w:val="bottom"/>
            <w:hideMark/>
          </w:tcPr>
          <w:p w:rsidR="00FA5DEF" w:rsidRPr="00A374FC" w:rsidRDefault="00FA5DEF" w:rsidP="00FA5DEF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31.12.2016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Kontingenter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2 991 171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3 166 667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-175 496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7 600 000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7 454 730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Adm vederlag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136 067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62 500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73 567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150 000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134 184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Refusjon OR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95 833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-95 833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230 000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230 000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Prosjektmidler / PFF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518 005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479 167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38 838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1 150 000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1 215 505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Møteinntekter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-8 625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354 167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-362 792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850 000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1 220 616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Andre inntekter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1 350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10 417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-9 067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25 000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103 820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shd w:val="clear" w:color="000000" w:fill="EBF1DE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SUM INNTEKTER</w:t>
            </w:r>
          </w:p>
        </w:tc>
        <w:tc>
          <w:tcPr>
            <w:tcW w:w="1417" w:type="dxa"/>
            <w:shd w:val="clear" w:color="000000" w:fill="EBF1DE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3 637 968 </w:t>
            </w:r>
          </w:p>
        </w:tc>
        <w:tc>
          <w:tcPr>
            <w:tcW w:w="1418" w:type="dxa"/>
            <w:shd w:val="clear" w:color="000000" w:fill="EBF1DE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4 168 750 </w:t>
            </w:r>
          </w:p>
        </w:tc>
        <w:tc>
          <w:tcPr>
            <w:tcW w:w="1275" w:type="dxa"/>
            <w:shd w:val="clear" w:color="000000" w:fill="EBF1DE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-530 782 </w:t>
            </w:r>
          </w:p>
        </w:tc>
        <w:tc>
          <w:tcPr>
            <w:tcW w:w="1276" w:type="dxa"/>
            <w:shd w:val="clear" w:color="000000" w:fill="EBF1DE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10 005 000 </w:t>
            </w:r>
          </w:p>
        </w:tc>
        <w:tc>
          <w:tcPr>
            <w:tcW w:w="1276" w:type="dxa"/>
            <w:shd w:val="clear" w:color="000000" w:fill="EBF1DE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10 358 855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Kontingent NP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540 000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675 000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-135 000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1 620 000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1 620 000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Regionkontingenter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994 800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437 500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557 300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1 050 000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1 026 000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Pensjonistkontingenter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-6 000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16 667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-22 667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37 800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NJ felleskasser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29 167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-29 167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70 000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32 625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Tilltak i handlingsplanen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161 507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62 500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99 007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150 000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142 898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Viderefakturerte kostnader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5 770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Kostnader vårmøte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125 000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-125 000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300 000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676 732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Kostnader høstmøte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-25 000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166 667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-191 667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400 000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473 204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Kostnader andre møter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241 369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145 833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95 536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350 000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447 194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Honorar u/trekk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6 250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-6 250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15 000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11 953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Diverse kostnader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4 167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-4 167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Pressekort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3 282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6 250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-2 968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15 000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28 566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Prosjekter og utredninger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10 091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41 667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-31 576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100 000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155 303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Sum prosjektkostnader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1 920 049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1 716 667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203 382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4 120 000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4 658 045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Lønnskostnader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1 360 945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1 400 000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-39 055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3 360 000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3 012 791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Andre lønnskostnader / pensjon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399 746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402 083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-2 337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965 000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818 199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Andre personalkostnader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18 155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27 083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-8 928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65 000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65 592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Refunderte administrasjonskostnader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-88 330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-91 667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3 337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-220 000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-211 992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Sum personalkostnader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1 690 516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1 737 500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-46 984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4 170 000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3 684 590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Avskrivninger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51 331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52 083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-752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125 000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123 473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Kostnader lokaler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261 927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281 250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-19 323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675 000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673 844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Inventar / vedlikehold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12 500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-12 500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27 166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Fremmede tjenester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53 816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102 083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-48 267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245 000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275 264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Kontorkostnader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110 448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85 417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25 031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205 000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223 018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Aviser og faglitteratur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25 574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33 333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-7 759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80 000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68 374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Telekostnader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24 858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29 167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-4 309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70 000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64 676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Porto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2 128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4 167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-2 039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26 602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Bilkostnader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Reisekostnader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41 160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41 667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-507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100 000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82 880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Kurskostnader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37 840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20 833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17 007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50 000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48 556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Gaver og kontingenter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8 485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20 833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-12 348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50 000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82 336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Forsikring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3 125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-3 125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7 500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Bankkostnader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3 625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833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2 792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9 244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Tap og lignende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20 833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-20 833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50 000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-42 968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Sum driftskostnader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621 192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708 125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-86 933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1 699 500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1 662 465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shd w:val="clear" w:color="000000" w:fill="EBF1DE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SUM KOSTNADER</w:t>
            </w:r>
          </w:p>
        </w:tc>
        <w:tc>
          <w:tcPr>
            <w:tcW w:w="1417" w:type="dxa"/>
            <w:shd w:val="clear" w:color="000000" w:fill="EBF1DE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4 231 757 </w:t>
            </w:r>
          </w:p>
        </w:tc>
        <w:tc>
          <w:tcPr>
            <w:tcW w:w="1418" w:type="dxa"/>
            <w:shd w:val="clear" w:color="000000" w:fill="EBF1DE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4 162 292 </w:t>
            </w:r>
          </w:p>
        </w:tc>
        <w:tc>
          <w:tcPr>
            <w:tcW w:w="1275" w:type="dxa"/>
            <w:shd w:val="clear" w:color="000000" w:fill="EBF1DE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69 465 </w:t>
            </w:r>
          </w:p>
        </w:tc>
        <w:tc>
          <w:tcPr>
            <w:tcW w:w="1276" w:type="dxa"/>
            <w:shd w:val="clear" w:color="000000" w:fill="EBF1DE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9 989 500 </w:t>
            </w:r>
          </w:p>
        </w:tc>
        <w:tc>
          <w:tcPr>
            <w:tcW w:w="1276" w:type="dxa"/>
            <w:shd w:val="clear" w:color="000000" w:fill="EBF1DE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10 005 100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Resultat før finans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593 789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-6 458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600 247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-15 500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-353 755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Renteinntekter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31 250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-31 250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75 000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18 955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Finanskostnader</w:t>
            </w:r>
          </w:p>
        </w:tc>
        <w:tc>
          <w:tcPr>
            <w:tcW w:w="1417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1 247 </w:t>
            </w:r>
          </w:p>
        </w:tc>
        <w:tc>
          <w:tcPr>
            <w:tcW w:w="1418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2 083 </w:t>
            </w:r>
          </w:p>
        </w:tc>
        <w:tc>
          <w:tcPr>
            <w:tcW w:w="1275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-836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5 000 </w:t>
            </w:r>
          </w:p>
        </w:tc>
        <w:tc>
          <w:tcPr>
            <w:tcW w:w="1276" w:type="dxa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1 691 </w:t>
            </w:r>
          </w:p>
        </w:tc>
      </w:tr>
      <w:tr w:rsidR="00FA5DEF" w:rsidRPr="00FA5DEF" w:rsidTr="00A374FC">
        <w:trPr>
          <w:trHeight w:val="227"/>
        </w:trPr>
        <w:tc>
          <w:tcPr>
            <w:tcW w:w="3261" w:type="dxa"/>
            <w:shd w:val="clear" w:color="000000" w:fill="D8E4BC"/>
            <w:noWrap/>
            <w:vAlign w:val="bottom"/>
            <w:hideMark/>
          </w:tcPr>
          <w:p w:rsidR="00FA5DEF" w:rsidRPr="00A374FC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RESULTAT</w:t>
            </w:r>
          </w:p>
        </w:tc>
        <w:tc>
          <w:tcPr>
            <w:tcW w:w="1417" w:type="dxa"/>
            <w:shd w:val="clear" w:color="000000" w:fill="D8E4BC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595 036 </w:t>
            </w:r>
          </w:p>
        </w:tc>
        <w:tc>
          <w:tcPr>
            <w:tcW w:w="1418" w:type="dxa"/>
            <w:shd w:val="clear" w:color="000000" w:fill="D8E4BC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-35 625 </w:t>
            </w:r>
          </w:p>
        </w:tc>
        <w:tc>
          <w:tcPr>
            <w:tcW w:w="1275" w:type="dxa"/>
            <w:shd w:val="clear" w:color="000000" w:fill="D8E4BC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630 661 </w:t>
            </w:r>
          </w:p>
        </w:tc>
        <w:tc>
          <w:tcPr>
            <w:tcW w:w="1276" w:type="dxa"/>
            <w:shd w:val="clear" w:color="000000" w:fill="D8E4BC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-85 500 </w:t>
            </w:r>
          </w:p>
        </w:tc>
        <w:tc>
          <w:tcPr>
            <w:tcW w:w="1276" w:type="dxa"/>
            <w:shd w:val="clear" w:color="000000" w:fill="D8E4BC"/>
            <w:noWrap/>
            <w:vAlign w:val="bottom"/>
            <w:hideMark/>
          </w:tcPr>
          <w:p w:rsidR="00FA5DEF" w:rsidRPr="00A374FC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A374FC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-371 019 </w:t>
            </w:r>
          </w:p>
        </w:tc>
      </w:tr>
    </w:tbl>
    <w:p w:rsidR="00FA5DEF" w:rsidRDefault="00FA5DEF">
      <w:pPr>
        <w:rPr>
          <w:rFonts w:ascii="Times New Roman" w:hAnsi="Times New Roman"/>
          <w:sz w:val="24"/>
          <w:szCs w:val="24"/>
        </w:rPr>
      </w:pPr>
    </w:p>
    <w:tbl>
      <w:tblPr>
        <w:tblW w:w="8364" w:type="dxa"/>
        <w:tblInd w:w="7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1703"/>
        <w:gridCol w:w="1985"/>
        <w:gridCol w:w="1843"/>
      </w:tblGrid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BALANSE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31.05.2017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2015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Eiendeler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Anleggsmidler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Kunst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12 500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12 500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12 500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Datautstyr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34 521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41 785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39 221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Webutvikling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171 924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215 992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172 039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Bil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Sum anleggsmidler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218 945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270 277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223 760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Omløpsmidler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Kundefordringer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61 053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157 738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114 351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Andre fordringer/forskudd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176 141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4 626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23 615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Forskuddsbetalte kostnader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69 215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31 998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28 012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Mellomregning PS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6 750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6 750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Mellomrening  VF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40 740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40 740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50 733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Mellomregning kopivederlag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Særvilkår / verdipapirer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4 127 637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4 480 664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3 168 657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Depositumskonto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621 800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603 973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603 974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Kasse / bank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4 415 617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459 572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1 470 170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Sum omløpsmidler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9 512 203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5 786 061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5 466 262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Sum eiendeler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9 731 148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6 056 338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5 690 022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Gjeld / Egenkapital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Egenkapital pr 01.01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5 309 530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4 938 511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4 870 017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Årets resultat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-595 036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371 019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68 494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Egenkapital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4 714 494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5 309 530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4 938 511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Langsiktig gjeld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Leverandørgjeld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29 663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90 850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100 622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Kortsiktig gjeld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80 282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48 600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1 039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Mellomregning OR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57 196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-1 079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40 703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Mellomregning kopivederlag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Skyldig skattetrekk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98 034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151 053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156 031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Offentlige avgifter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103 157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131 331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127 676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Avsatte feriepenger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475 493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326 053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325 438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>Periodiserte kontingenter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4 183 929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nb-NO"/>
              </w:rPr>
              <w:t xml:space="preserve"> -  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Sum gjeld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5 027 754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746 808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751 509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>Sum gjeld og egenkapital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9 742 248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6 056 338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FA5DEF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5 690 020 </w:t>
            </w:r>
          </w:p>
        </w:tc>
      </w:tr>
      <w:tr w:rsidR="00FA5DEF" w:rsidRPr="00FA5DEF" w:rsidTr="00A374FC">
        <w:trPr>
          <w:trHeight w:hRule="exact" w:val="22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DEF" w:rsidRPr="00FA5DEF" w:rsidRDefault="00FA5DEF" w:rsidP="00FA5DEF">
            <w:pPr>
              <w:rPr>
                <w:rFonts w:asciiTheme="minorHAnsi" w:eastAsia="Times New Roman" w:hAnsiTheme="minorHAnsi"/>
                <w:sz w:val="18"/>
                <w:szCs w:val="18"/>
                <w:lang w:eastAsia="nb-NO"/>
              </w:rPr>
            </w:pPr>
          </w:p>
        </w:tc>
      </w:tr>
    </w:tbl>
    <w:p w:rsidR="00BE52D3" w:rsidRPr="00FA5DEF" w:rsidRDefault="00BE52D3">
      <w:pPr>
        <w:rPr>
          <w:rFonts w:asciiTheme="minorHAnsi" w:hAnsiTheme="minorHAnsi"/>
          <w:sz w:val="18"/>
          <w:szCs w:val="18"/>
        </w:rPr>
      </w:pPr>
    </w:p>
    <w:sectPr w:rsidR="00BE52D3" w:rsidRPr="00FA5DEF" w:rsidSect="004F153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97C"/>
    <w:multiLevelType w:val="hybridMultilevel"/>
    <w:tmpl w:val="F0F6C666"/>
    <w:lvl w:ilvl="0" w:tplc="ACF82594">
      <w:start w:val="7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E8"/>
    <w:rsid w:val="00004621"/>
    <w:rsid w:val="000102F2"/>
    <w:rsid w:val="000231E3"/>
    <w:rsid w:val="00024E32"/>
    <w:rsid w:val="00040DC5"/>
    <w:rsid w:val="00040F92"/>
    <w:rsid w:val="00042E7D"/>
    <w:rsid w:val="00052A4B"/>
    <w:rsid w:val="00054CA2"/>
    <w:rsid w:val="000561B9"/>
    <w:rsid w:val="00060E07"/>
    <w:rsid w:val="00066447"/>
    <w:rsid w:val="00074773"/>
    <w:rsid w:val="00077FDA"/>
    <w:rsid w:val="000A4B72"/>
    <w:rsid w:val="000A6AF7"/>
    <w:rsid w:val="000A6DC5"/>
    <w:rsid w:val="000B6F26"/>
    <w:rsid w:val="000D46F6"/>
    <w:rsid w:val="000D59A9"/>
    <w:rsid w:val="000E0CD1"/>
    <w:rsid w:val="000F325C"/>
    <w:rsid w:val="000F4B22"/>
    <w:rsid w:val="000F69BE"/>
    <w:rsid w:val="001048BD"/>
    <w:rsid w:val="0011194D"/>
    <w:rsid w:val="0011769F"/>
    <w:rsid w:val="0014324C"/>
    <w:rsid w:val="001436FA"/>
    <w:rsid w:val="001711F6"/>
    <w:rsid w:val="001979E8"/>
    <w:rsid w:val="001A1A8F"/>
    <w:rsid w:val="001C3607"/>
    <w:rsid w:val="001C7C14"/>
    <w:rsid w:val="001D080E"/>
    <w:rsid w:val="001D1E12"/>
    <w:rsid w:val="002343CB"/>
    <w:rsid w:val="00257E70"/>
    <w:rsid w:val="002B3A01"/>
    <w:rsid w:val="002B6504"/>
    <w:rsid w:val="002C4DFB"/>
    <w:rsid w:val="002D1A22"/>
    <w:rsid w:val="002D3EA6"/>
    <w:rsid w:val="002E693E"/>
    <w:rsid w:val="00305710"/>
    <w:rsid w:val="00317ED4"/>
    <w:rsid w:val="003260A1"/>
    <w:rsid w:val="00373792"/>
    <w:rsid w:val="00395B10"/>
    <w:rsid w:val="003C5500"/>
    <w:rsid w:val="003F5815"/>
    <w:rsid w:val="00403553"/>
    <w:rsid w:val="004048D4"/>
    <w:rsid w:val="00405754"/>
    <w:rsid w:val="00407FD3"/>
    <w:rsid w:val="00416DCB"/>
    <w:rsid w:val="00443C58"/>
    <w:rsid w:val="004744B2"/>
    <w:rsid w:val="00474D79"/>
    <w:rsid w:val="004A235E"/>
    <w:rsid w:val="004B560A"/>
    <w:rsid w:val="004D07EB"/>
    <w:rsid w:val="004D3C62"/>
    <w:rsid w:val="004D6EF8"/>
    <w:rsid w:val="004E3CDA"/>
    <w:rsid w:val="004E3F5A"/>
    <w:rsid w:val="004F153E"/>
    <w:rsid w:val="00500988"/>
    <w:rsid w:val="005067B7"/>
    <w:rsid w:val="00507ADE"/>
    <w:rsid w:val="00551458"/>
    <w:rsid w:val="00566FE4"/>
    <w:rsid w:val="0057124C"/>
    <w:rsid w:val="005812B4"/>
    <w:rsid w:val="0058391E"/>
    <w:rsid w:val="005A70AE"/>
    <w:rsid w:val="005D3261"/>
    <w:rsid w:val="005D3D48"/>
    <w:rsid w:val="005D449E"/>
    <w:rsid w:val="005D4E74"/>
    <w:rsid w:val="005E438C"/>
    <w:rsid w:val="00634934"/>
    <w:rsid w:val="00654D37"/>
    <w:rsid w:val="0066147F"/>
    <w:rsid w:val="006900D3"/>
    <w:rsid w:val="006A3D33"/>
    <w:rsid w:val="006B74D2"/>
    <w:rsid w:val="006C28C0"/>
    <w:rsid w:val="006C518E"/>
    <w:rsid w:val="006D38AA"/>
    <w:rsid w:val="006E24C6"/>
    <w:rsid w:val="006F77F8"/>
    <w:rsid w:val="007459F7"/>
    <w:rsid w:val="00770742"/>
    <w:rsid w:val="00774843"/>
    <w:rsid w:val="0077712C"/>
    <w:rsid w:val="0079613F"/>
    <w:rsid w:val="007A7C68"/>
    <w:rsid w:val="007B5F9D"/>
    <w:rsid w:val="007C507C"/>
    <w:rsid w:val="007C706A"/>
    <w:rsid w:val="007E5792"/>
    <w:rsid w:val="007E70E8"/>
    <w:rsid w:val="007F5B95"/>
    <w:rsid w:val="00806BB7"/>
    <w:rsid w:val="00844B4A"/>
    <w:rsid w:val="00883EDC"/>
    <w:rsid w:val="00887460"/>
    <w:rsid w:val="00895375"/>
    <w:rsid w:val="008A17DF"/>
    <w:rsid w:val="008A1C83"/>
    <w:rsid w:val="008D22B6"/>
    <w:rsid w:val="008D2B0A"/>
    <w:rsid w:val="008E00F4"/>
    <w:rsid w:val="008E78DE"/>
    <w:rsid w:val="00900764"/>
    <w:rsid w:val="009201DE"/>
    <w:rsid w:val="0093271F"/>
    <w:rsid w:val="009374AA"/>
    <w:rsid w:val="00970BE3"/>
    <w:rsid w:val="009912E3"/>
    <w:rsid w:val="0099153E"/>
    <w:rsid w:val="009959DB"/>
    <w:rsid w:val="009A560E"/>
    <w:rsid w:val="009A6132"/>
    <w:rsid w:val="009B1797"/>
    <w:rsid w:val="009B64BD"/>
    <w:rsid w:val="009E0031"/>
    <w:rsid w:val="00A15A5D"/>
    <w:rsid w:val="00A23633"/>
    <w:rsid w:val="00A374FC"/>
    <w:rsid w:val="00A46DD5"/>
    <w:rsid w:val="00A47719"/>
    <w:rsid w:val="00A539ED"/>
    <w:rsid w:val="00A66998"/>
    <w:rsid w:val="00A75A7B"/>
    <w:rsid w:val="00A9421E"/>
    <w:rsid w:val="00AA0F0A"/>
    <w:rsid w:val="00AC1375"/>
    <w:rsid w:val="00AC6DD9"/>
    <w:rsid w:val="00AD50A1"/>
    <w:rsid w:val="00AF405A"/>
    <w:rsid w:val="00B00CD4"/>
    <w:rsid w:val="00B00E26"/>
    <w:rsid w:val="00B11171"/>
    <w:rsid w:val="00B20E85"/>
    <w:rsid w:val="00B23E46"/>
    <w:rsid w:val="00B46BAA"/>
    <w:rsid w:val="00B46EFC"/>
    <w:rsid w:val="00B741BD"/>
    <w:rsid w:val="00B868E9"/>
    <w:rsid w:val="00B97290"/>
    <w:rsid w:val="00BB7565"/>
    <w:rsid w:val="00BE3754"/>
    <w:rsid w:val="00BE52D3"/>
    <w:rsid w:val="00BF139E"/>
    <w:rsid w:val="00BF7B13"/>
    <w:rsid w:val="00C10B73"/>
    <w:rsid w:val="00C241C8"/>
    <w:rsid w:val="00C41E8F"/>
    <w:rsid w:val="00C750E9"/>
    <w:rsid w:val="00C94621"/>
    <w:rsid w:val="00CB0C26"/>
    <w:rsid w:val="00CB3758"/>
    <w:rsid w:val="00CB3BCA"/>
    <w:rsid w:val="00CD6B99"/>
    <w:rsid w:val="00D05925"/>
    <w:rsid w:val="00D237E1"/>
    <w:rsid w:val="00D24D54"/>
    <w:rsid w:val="00D27F23"/>
    <w:rsid w:val="00D30A9B"/>
    <w:rsid w:val="00D36056"/>
    <w:rsid w:val="00D41128"/>
    <w:rsid w:val="00D539F2"/>
    <w:rsid w:val="00D56728"/>
    <w:rsid w:val="00D60DF3"/>
    <w:rsid w:val="00D60EFB"/>
    <w:rsid w:val="00D916C3"/>
    <w:rsid w:val="00DB2AE9"/>
    <w:rsid w:val="00DC01D2"/>
    <w:rsid w:val="00DD00AF"/>
    <w:rsid w:val="00DD4F40"/>
    <w:rsid w:val="00DE1918"/>
    <w:rsid w:val="00E10D30"/>
    <w:rsid w:val="00E135BC"/>
    <w:rsid w:val="00E34490"/>
    <w:rsid w:val="00E3496C"/>
    <w:rsid w:val="00E745DF"/>
    <w:rsid w:val="00E97204"/>
    <w:rsid w:val="00EB488C"/>
    <w:rsid w:val="00EC3586"/>
    <w:rsid w:val="00ED2A02"/>
    <w:rsid w:val="00EE5B25"/>
    <w:rsid w:val="00EE61E1"/>
    <w:rsid w:val="00F03A28"/>
    <w:rsid w:val="00F03DF2"/>
    <w:rsid w:val="00F27C66"/>
    <w:rsid w:val="00F36A81"/>
    <w:rsid w:val="00F46530"/>
    <w:rsid w:val="00F96E2F"/>
    <w:rsid w:val="00FA057F"/>
    <w:rsid w:val="00FA5A76"/>
    <w:rsid w:val="00FA5DEF"/>
    <w:rsid w:val="00FC0292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1E61"/>
  <w15:docId w15:val="{747971ED-95AA-412F-A896-B9759BF4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7F23"/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qFormat/>
    <w:rsid w:val="0058391E"/>
    <w:pPr>
      <w:spacing w:before="100" w:beforeAutospacing="1" w:after="75"/>
      <w:outlineLvl w:val="1"/>
    </w:pPr>
    <w:rPr>
      <w:rFonts w:ascii="Verdana" w:eastAsia="Times New Roman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8391E"/>
    <w:rPr>
      <w:rFonts w:ascii="Verdana" w:eastAsia="Times New Roman" w:hAnsi="Verdana"/>
      <w:b/>
      <w:bCs/>
      <w:sz w:val="22"/>
      <w:szCs w:val="22"/>
    </w:rPr>
  </w:style>
  <w:style w:type="character" w:styleId="Emphasis">
    <w:name w:val="Emphasis"/>
    <w:qFormat/>
    <w:rsid w:val="0058391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6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7C6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A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1473</Words>
  <Characters>7809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Arne Jensen</cp:lastModifiedBy>
  <cp:revision>3</cp:revision>
  <cp:lastPrinted>2017-06-09T10:43:00Z</cp:lastPrinted>
  <dcterms:created xsi:type="dcterms:W3CDTF">2017-06-09T10:38:00Z</dcterms:created>
  <dcterms:modified xsi:type="dcterms:W3CDTF">2017-06-09T10:44:00Z</dcterms:modified>
</cp:coreProperties>
</file>