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56" w:rsidRPr="00155088" w:rsidRDefault="00D07656" w:rsidP="00DA616E">
      <w:pPr>
        <w:pStyle w:val="BodyText"/>
        <w:rPr>
          <w:spacing w:val="121"/>
        </w:rPr>
      </w:pPr>
      <w:r w:rsidRPr="00155088">
        <w:rPr>
          <w:noProof/>
          <w:lang w:eastAsia="nb-NO"/>
        </w:rPr>
        <w:drawing>
          <wp:inline distT="0" distB="0" distL="0" distR="0" wp14:anchorId="30D03AB9" wp14:editId="3F6991CA">
            <wp:extent cx="1475105" cy="491490"/>
            <wp:effectExtent l="0" t="0" r="0" b="381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088">
        <w:t xml:space="preserve"> </w:t>
      </w:r>
      <w:r w:rsidRPr="00155088">
        <w:tab/>
      </w:r>
      <w:r w:rsidRPr="00155088">
        <w:rPr>
          <w:noProof/>
          <w:lang w:eastAsia="nb-NO"/>
        </w:rPr>
        <w:drawing>
          <wp:inline distT="0" distB="0" distL="0" distR="0" wp14:anchorId="500AD044" wp14:editId="49E4B165">
            <wp:extent cx="1889125" cy="36258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088">
        <w:rPr>
          <w:spacing w:val="121"/>
        </w:rPr>
        <w:t xml:space="preserve"> </w:t>
      </w:r>
      <w:r w:rsidRPr="00155088">
        <w:rPr>
          <w:noProof/>
          <w:spacing w:val="121"/>
          <w:lang w:eastAsia="nb-NO"/>
        </w:rPr>
        <w:drawing>
          <wp:inline distT="0" distB="0" distL="0" distR="0" wp14:anchorId="657650B9" wp14:editId="0703ABAB">
            <wp:extent cx="1868400" cy="457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56" w:rsidRDefault="00D07656" w:rsidP="00D07656"/>
    <w:p w:rsidR="00D07656" w:rsidRDefault="00D07656" w:rsidP="00D07656">
      <w:bookmarkStart w:id="0" w:name="_GoBack"/>
      <w:bookmarkEnd w:id="0"/>
    </w:p>
    <w:p w:rsidR="00D07656" w:rsidRPr="00A12E77" w:rsidRDefault="00D07656" w:rsidP="00D07656">
      <w:pPr>
        <w:pStyle w:val="BodyText"/>
        <w:kinsoku w:val="0"/>
        <w:overflowPunct w:val="0"/>
        <w:ind w:left="0"/>
        <w:rPr>
          <w:sz w:val="24"/>
        </w:rPr>
      </w:pPr>
      <w:r w:rsidRPr="00A12E77">
        <w:rPr>
          <w:sz w:val="24"/>
        </w:rPr>
        <w:t>Til</w:t>
      </w:r>
    </w:p>
    <w:p w:rsidR="00D07656" w:rsidRDefault="00D07656" w:rsidP="00D07656">
      <w:pPr>
        <w:pStyle w:val="BodyText"/>
        <w:kinsoku w:val="0"/>
        <w:overflowPunct w:val="0"/>
        <w:ind w:left="0"/>
      </w:pPr>
      <w:r w:rsidRPr="00A12E77">
        <w:rPr>
          <w:sz w:val="24"/>
        </w:rPr>
        <w:t>Forsvarsdepartementet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0214" w:rsidRDefault="00DA616E">
      <w:hyperlink r:id="rId9" w:history="1">
        <w:r w:rsidR="00A12E77" w:rsidRPr="009542B7">
          <w:rPr>
            <w:rStyle w:val="Hyperlink"/>
            <w:rFonts w:ascii="Open Sans" w:hAnsi="Open Sans"/>
          </w:rPr>
          <w:t>postmottak@fd.dep.no</w:t>
        </w:r>
      </w:hyperlink>
    </w:p>
    <w:p w:rsidR="00D07656" w:rsidRDefault="00D07656"/>
    <w:p w:rsidR="00D07656" w:rsidRPr="00AC17BA" w:rsidRDefault="00D07656">
      <w:pPr>
        <w:rPr>
          <w:rFonts w:ascii="Arial Narrow" w:hAnsi="Arial Narrow"/>
          <w:sz w:val="18"/>
        </w:rPr>
      </w:pPr>
    </w:p>
    <w:p w:rsidR="00D07656" w:rsidRPr="00AC17BA" w:rsidRDefault="00A12E77" w:rsidP="00A12E7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4"/>
          <w:lang w:eastAsia="nb-NO"/>
        </w:rPr>
      </w:pPr>
      <w:r w:rsidRPr="00AC17BA">
        <w:rPr>
          <w:rFonts w:ascii="Arial Narrow" w:eastAsia="Times New Roman" w:hAnsi="Arial Narrow" w:cs="Times New Roman"/>
          <w:sz w:val="20"/>
          <w:szCs w:val="24"/>
          <w:lang w:eastAsia="nb-NO"/>
        </w:rPr>
        <w:t>Deres</w:t>
      </w:r>
      <w:r w:rsidR="00D07656" w:rsidRPr="00AC17BA">
        <w:rPr>
          <w:rFonts w:ascii="Arial Narrow" w:eastAsia="Times New Roman" w:hAnsi="Arial Narrow" w:cs="Times New Roman"/>
          <w:sz w:val="20"/>
          <w:szCs w:val="24"/>
          <w:lang w:eastAsia="nb-NO"/>
        </w:rPr>
        <w:t xml:space="preserve"> ref.: 2015/3139-7/FD V 3/MAY </w:t>
      </w:r>
    </w:p>
    <w:p w:rsidR="00D07656" w:rsidRPr="003E5BB5" w:rsidRDefault="003E5BB5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5BB5">
        <w:rPr>
          <w:rFonts w:ascii="Bookman Old Style" w:hAnsi="Bookman Old Style"/>
        </w:rPr>
        <w:t xml:space="preserve">Oslo </w:t>
      </w:r>
      <w:r w:rsidR="00222DD3" w:rsidRPr="003E5BB5">
        <w:rPr>
          <w:rFonts w:ascii="Bookman Old Style" w:hAnsi="Bookman Old Style"/>
        </w:rPr>
        <w:t>2</w:t>
      </w:r>
      <w:r w:rsidR="00222DD3">
        <w:rPr>
          <w:rFonts w:ascii="Bookman Old Style" w:hAnsi="Bookman Old Style"/>
        </w:rPr>
        <w:t>7</w:t>
      </w:r>
      <w:r w:rsidRPr="003E5BB5">
        <w:rPr>
          <w:rFonts w:ascii="Bookman Old Style" w:hAnsi="Bookman Old Style"/>
        </w:rPr>
        <w:t>. januar 2017</w:t>
      </w:r>
    </w:p>
    <w:p w:rsidR="00634C33" w:rsidRPr="003E5BB5" w:rsidRDefault="00634C33">
      <w:pPr>
        <w:rPr>
          <w:rFonts w:ascii="Bookman Old Style" w:hAnsi="Bookman Old Style"/>
        </w:rPr>
      </w:pPr>
    </w:p>
    <w:p w:rsidR="00634C33" w:rsidRPr="003E5BB5" w:rsidRDefault="00634C33">
      <w:pPr>
        <w:rPr>
          <w:rFonts w:ascii="Bookman Old Style" w:hAnsi="Bookman Old Style"/>
        </w:rPr>
      </w:pPr>
    </w:p>
    <w:p w:rsidR="003E5BB5" w:rsidRDefault="003E5BB5" w:rsidP="003E5BB5">
      <w:pPr>
        <w:rPr>
          <w:rFonts w:ascii="Open Sans" w:hAnsi="Open Sans"/>
          <w:color w:val="000000"/>
        </w:rPr>
      </w:pPr>
    </w:p>
    <w:p w:rsidR="003E5BB5" w:rsidRPr="00920AA8" w:rsidRDefault="003E5BB5" w:rsidP="003E5BB5">
      <w:pPr>
        <w:rPr>
          <w:rFonts w:ascii="Open Sans" w:hAnsi="Open Sans"/>
          <w:b/>
          <w:color w:val="000000"/>
        </w:rPr>
      </w:pPr>
      <w:r w:rsidRPr="00920AA8">
        <w:rPr>
          <w:rFonts w:ascii="Open Sans" w:hAnsi="Open Sans"/>
          <w:b/>
          <w:color w:val="000000"/>
          <w:sz w:val="30"/>
        </w:rPr>
        <w:t>Høring – NOU 2016: 19 Samhandling for sikkerhet</w:t>
      </w:r>
    </w:p>
    <w:p w:rsidR="003E5BB5" w:rsidRPr="003E5BB5" w:rsidRDefault="003E5BB5" w:rsidP="003E5BB5">
      <w:pPr>
        <w:rPr>
          <w:rFonts w:ascii="Bookman Old Style" w:hAnsi="Bookman Old Style" w:cs="Times New Roman"/>
        </w:rPr>
      </w:pPr>
      <w:r w:rsidRPr="003E5BB5">
        <w:rPr>
          <w:rFonts w:ascii="Bookman Old Style" w:hAnsi="Bookman Old Style" w:cs="Times New Roman"/>
        </w:rPr>
        <w:t>Norsk Presseforbund (NP) er fellesorganet for norske medier i etiske og redaksjonelt faglige spørsmål. Norsk Redaktørforening (NR) er en landsomfattende sammenslutning av redaktører i alle typer medier. Norsk Journalistlag (NJ) er organisasjonen for redaksjonelle medarbeidere, herunder ledere og frilansere som har journalistikk som yrke.</w:t>
      </w:r>
    </w:p>
    <w:p w:rsidR="0088321C" w:rsidRDefault="003E5BB5" w:rsidP="003E5B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Vi takker for</w:t>
      </w:r>
      <w:r w:rsidRPr="00920A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invitasjon til å gi synspunkter på NOU 2016:19 «Samhandling for sikkerhet», datert 14. oktober 2016</w:t>
      </w:r>
      <w:r w:rsidR="0088321C">
        <w:rPr>
          <w:rFonts w:ascii="Bookman Old Style" w:hAnsi="Bookman Old Style"/>
        </w:rPr>
        <w:t>, og for innvilget utsettelse med levering i brev til oss datert 21. januar 2017</w:t>
      </w:r>
      <w:r>
        <w:rPr>
          <w:rFonts w:ascii="Bookman Old Style" w:hAnsi="Bookman Old Style"/>
        </w:rPr>
        <w:t>.</w:t>
      </w:r>
    </w:p>
    <w:p w:rsidR="00772B73" w:rsidRDefault="0088321C" w:rsidP="003E5B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Våre organisas</w:t>
      </w:r>
      <w:r w:rsidR="006302AC">
        <w:rPr>
          <w:rFonts w:ascii="Bookman Old Style" w:hAnsi="Bookman Old Style"/>
        </w:rPr>
        <w:t xml:space="preserve">joner </w:t>
      </w:r>
      <w:r w:rsidR="00772B73">
        <w:rPr>
          <w:rFonts w:ascii="Bookman Old Style" w:hAnsi="Bookman Old Style"/>
        </w:rPr>
        <w:t>betrakter utredningen og lovforslaget som så abstrakt og upresist formulert</w:t>
      </w:r>
      <w:r w:rsidR="005D74FA">
        <w:rPr>
          <w:rFonts w:ascii="Bookman Old Style" w:hAnsi="Bookman Old Style"/>
        </w:rPr>
        <w:t>,</w:t>
      </w:r>
      <w:r w:rsidR="00772B73">
        <w:rPr>
          <w:rFonts w:ascii="Bookman Old Style" w:hAnsi="Bookman Old Style"/>
        </w:rPr>
        <w:t xml:space="preserve"> at det blir umulig å vurdere hva lovforslaget konkret vil omfatte av offentlige og private virksomheter, og dermed også hvilke virkninger loven vil få.</w:t>
      </w:r>
    </w:p>
    <w:p w:rsidR="00772B73" w:rsidRDefault="00772B73" w:rsidP="00772B7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</w:t>
      </w:r>
      <w:r w:rsidR="006302AC">
        <w:rPr>
          <w:rFonts w:ascii="Bookman Old Style" w:hAnsi="Bookman Old Style"/>
        </w:rPr>
        <w:t xml:space="preserve">erkjenner at </w:t>
      </w:r>
      <w:r w:rsidR="0088321C">
        <w:rPr>
          <w:rFonts w:ascii="Bookman Old Style" w:hAnsi="Bookman Old Style"/>
        </w:rPr>
        <w:t xml:space="preserve">moderne samfunn </w:t>
      </w:r>
      <w:r w:rsidR="006302AC">
        <w:rPr>
          <w:rFonts w:ascii="Bookman Old Style" w:hAnsi="Bookman Old Style"/>
        </w:rPr>
        <w:t xml:space="preserve">som vårt </w:t>
      </w:r>
      <w:r w:rsidR="0088321C">
        <w:rPr>
          <w:rFonts w:ascii="Bookman Old Style" w:hAnsi="Bookman Old Style"/>
        </w:rPr>
        <w:t>er sårbart overfor krefter som vil undergrave, sabotere og terrorisere demokratiet. Vi er likevel redde for at alt for omfattende sikkerhetstiltak, ikke minst av det som kalles forebyggende, i karakter og sum kan komme til å virke kvelende på et levende demokrati</w:t>
      </w:r>
      <w:r w:rsidR="006302AC">
        <w:rPr>
          <w:rFonts w:ascii="Bookman Old Style" w:hAnsi="Bookman Old Style"/>
        </w:rPr>
        <w:t>. Demokratiet</w:t>
      </w:r>
      <w:r w:rsidR="0088321C">
        <w:rPr>
          <w:rFonts w:ascii="Bookman Old Style" w:hAnsi="Bookman Old Style"/>
        </w:rPr>
        <w:t xml:space="preserve"> er sterkt avhengig av åpenhet</w:t>
      </w:r>
      <w:r w:rsidR="006302AC">
        <w:rPr>
          <w:rFonts w:ascii="Bookman Old Style" w:hAnsi="Bookman Old Style"/>
        </w:rPr>
        <w:t>, transparens og livlig samfunnsdebatt. V</w:t>
      </w:r>
      <w:r w:rsidR="0088321C">
        <w:rPr>
          <w:rFonts w:ascii="Bookman Old Style" w:hAnsi="Bookman Old Style"/>
        </w:rPr>
        <w:t>i</w:t>
      </w:r>
      <w:r w:rsidR="006302AC">
        <w:rPr>
          <w:rFonts w:ascii="Bookman Old Style" w:hAnsi="Bookman Old Style"/>
        </w:rPr>
        <w:t xml:space="preserve"> frykter</w:t>
      </w:r>
      <w:r w:rsidR="0088321C">
        <w:rPr>
          <w:rFonts w:ascii="Bookman Old Style" w:hAnsi="Bookman Old Style"/>
        </w:rPr>
        <w:t xml:space="preserve"> at</w:t>
      </w:r>
      <w:r>
        <w:rPr>
          <w:rFonts w:ascii="Bookman Old Style" w:hAnsi="Bookman Old Style"/>
        </w:rPr>
        <w:t xml:space="preserve"> et lovutkast som det foreliggende, som ikke en gang utvalget selv kan konkretisere, kan komme til å få slike negative virkninger. </w:t>
      </w:r>
      <w:r w:rsidR="0088321C">
        <w:rPr>
          <w:rFonts w:ascii="Bookman Old Style" w:hAnsi="Bookman Old Style"/>
        </w:rPr>
        <w:t xml:space="preserve"> </w:t>
      </w:r>
    </w:p>
    <w:p w:rsidR="009B464E" w:rsidRDefault="005D682E" w:rsidP="00772B73">
      <w:pPr>
        <w:rPr>
          <w:rFonts w:ascii="Bookman Old Style" w:hAnsi="Bookman Old Style"/>
        </w:rPr>
      </w:pPr>
      <w:r w:rsidRPr="009B464E">
        <w:rPr>
          <w:rFonts w:ascii="Bookman Old Style" w:hAnsi="Bookman Old Style"/>
        </w:rPr>
        <w:t>Problemet fremkommer tydelig i utredningens kapittel</w:t>
      </w:r>
      <w:r w:rsidR="009B464E" w:rsidRPr="009B464E">
        <w:rPr>
          <w:rFonts w:ascii="Bookman Old Style" w:hAnsi="Bookman Old Style"/>
        </w:rPr>
        <w:t xml:space="preserve"> 6 om formål og virkeområde for en ny sikkerhetslov. Etter å ha brukt adskillig spalteplass på beskrivelse av formål og en rekke definisjoner</w:t>
      </w:r>
      <w:r w:rsidR="005D74FA">
        <w:rPr>
          <w:rFonts w:ascii="Bookman Old Style" w:hAnsi="Bookman Old Style"/>
        </w:rPr>
        <w:t>,</w:t>
      </w:r>
      <w:r w:rsidR="009B464E" w:rsidRPr="009B464E">
        <w:rPr>
          <w:rFonts w:ascii="Bookman Old Style" w:hAnsi="Bookman Old Style"/>
        </w:rPr>
        <w:t xml:space="preserve"> uttaler utvalget (på side 113) at forslaget antakelig </w:t>
      </w:r>
      <w:r w:rsidR="009B464E" w:rsidRPr="009B464E">
        <w:rPr>
          <w:rFonts w:ascii="Bookman Old Style" w:hAnsi="Bookman Old Style"/>
        </w:rPr>
        <w:lastRenderedPageBreak/>
        <w:t xml:space="preserve">vil føre til </w:t>
      </w:r>
      <w:r w:rsidR="009B464E" w:rsidRPr="009B464E">
        <w:rPr>
          <w:rFonts w:ascii="Bookman Old Style" w:hAnsi="Bookman Old Style" w:cs="UniCenturyOldStyle"/>
        </w:rPr>
        <w:t>at «flere virksomheter vil bli underlagt den nye loven», men at det «er vanskelig å vurdere konkret hvor mange virksomheter som vil bli underlagt loven». Det betyr selvsagt også at det ikke er mulig å si noe om hvilke virksomheter i Norge som vil bli omfattet, til tross for at utvalget mener å levere en oppskrift på hvordan man skal identifisere virksomheter som blir omfattet.</w:t>
      </w:r>
      <w:r w:rsidR="009B464E" w:rsidRPr="009B464E">
        <w:rPr>
          <w:rFonts w:ascii="Bookman Old Style" w:hAnsi="Bookman Old Style"/>
        </w:rPr>
        <w:t xml:space="preserve"> </w:t>
      </w:r>
      <w:r w:rsidR="009B464E">
        <w:rPr>
          <w:rFonts w:ascii="Bookman Old Style" w:hAnsi="Bookman Old Style"/>
        </w:rPr>
        <w:t>Utvalget skriver videre:</w:t>
      </w:r>
    </w:p>
    <w:p w:rsidR="009B464E" w:rsidRPr="00992ECF" w:rsidRDefault="00992ECF" w:rsidP="00772B73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UniCenturyOldStyle"/>
          <w:sz w:val="20"/>
          <w:szCs w:val="21"/>
        </w:rPr>
      </w:pPr>
      <w:r w:rsidRPr="00992ECF">
        <w:rPr>
          <w:rFonts w:ascii="Bookman Old Style" w:hAnsi="Bookman Old Style" w:cs="UniCenturyOldStyle"/>
          <w:sz w:val="20"/>
          <w:szCs w:val="21"/>
        </w:rPr>
        <w:t>«</w:t>
      </w:r>
      <w:r w:rsidR="009B464E" w:rsidRPr="00992ECF">
        <w:rPr>
          <w:rFonts w:ascii="Bookman Old Style" w:hAnsi="Bookman Old Style" w:cs="UniCenturyOldStyle"/>
          <w:sz w:val="20"/>
          <w:szCs w:val="21"/>
        </w:rPr>
        <w:t>For virksomheter som ikke tidligere har vært underlagt sikkerhetsl</w:t>
      </w:r>
      <w:r>
        <w:rPr>
          <w:rFonts w:ascii="Bookman Old Style" w:hAnsi="Bookman Old Style" w:cs="UniCenturyOldStyle"/>
          <w:sz w:val="20"/>
          <w:szCs w:val="21"/>
        </w:rPr>
        <w:t xml:space="preserve">oven, vil en slik </w:t>
      </w:r>
      <w:r w:rsidR="009B464E" w:rsidRPr="00992ECF">
        <w:rPr>
          <w:rFonts w:ascii="Bookman Old Style" w:hAnsi="Bookman Old Style" w:cs="UniCenturyOldStyle"/>
          <w:sz w:val="20"/>
          <w:szCs w:val="21"/>
        </w:rPr>
        <w:t xml:space="preserve">underleggelse kunne få vesentlige konsekvenser. Utvalget erkjenner at økte krav til </w:t>
      </w:r>
      <w:r>
        <w:rPr>
          <w:rFonts w:ascii="Bookman Old Style" w:hAnsi="Bookman Old Style" w:cs="UniCenturyOldStyle"/>
          <w:sz w:val="20"/>
          <w:szCs w:val="21"/>
        </w:rPr>
        <w:t xml:space="preserve">sikkerhet også vil innebære </w:t>
      </w:r>
      <w:r w:rsidR="009B464E" w:rsidRPr="00992ECF">
        <w:rPr>
          <w:rFonts w:ascii="Bookman Old Style" w:hAnsi="Bookman Old Style" w:cs="UniCenturyOldStyle"/>
          <w:sz w:val="20"/>
          <w:szCs w:val="21"/>
        </w:rPr>
        <w:t>økte kostnader, som kan virke tyngende for den enkelte virksomhet s</w:t>
      </w:r>
      <w:r>
        <w:rPr>
          <w:rFonts w:ascii="Bookman Old Style" w:hAnsi="Bookman Old Style" w:cs="UniCenturyOldStyle"/>
          <w:sz w:val="20"/>
          <w:szCs w:val="21"/>
        </w:rPr>
        <w:t xml:space="preserve">ett ut fra et bedriftsøkonomisk </w:t>
      </w:r>
      <w:r w:rsidR="009B464E" w:rsidRPr="00992ECF">
        <w:rPr>
          <w:rFonts w:ascii="Bookman Old Style" w:hAnsi="Bookman Old Style" w:cs="UniCenturyOldStyle"/>
          <w:sz w:val="20"/>
          <w:szCs w:val="21"/>
        </w:rPr>
        <w:t>perspektiv. Utvalget mener likevel at de sikkerhetsmessige gev</w:t>
      </w:r>
      <w:r>
        <w:rPr>
          <w:rFonts w:ascii="Bookman Old Style" w:hAnsi="Bookman Old Style" w:cs="UniCenturyOldStyle"/>
          <w:sz w:val="20"/>
          <w:szCs w:val="21"/>
        </w:rPr>
        <w:t xml:space="preserve">instene i et samfunnsperspektiv </w:t>
      </w:r>
      <w:r w:rsidR="009B464E" w:rsidRPr="00992ECF">
        <w:rPr>
          <w:rFonts w:ascii="Bookman Old Style" w:hAnsi="Bookman Old Style" w:cs="UniCenturyOldStyle"/>
          <w:sz w:val="20"/>
          <w:szCs w:val="21"/>
        </w:rPr>
        <w:t>overstiger de ulempene en utvidelse av lovens virkeområde vil kun</w:t>
      </w:r>
      <w:r>
        <w:rPr>
          <w:rFonts w:ascii="Bookman Old Style" w:hAnsi="Bookman Old Style" w:cs="UniCenturyOldStyle"/>
          <w:sz w:val="20"/>
          <w:szCs w:val="21"/>
        </w:rPr>
        <w:t xml:space="preserve">ne få for enkelte virksomheter. </w:t>
      </w:r>
      <w:r w:rsidR="009B464E" w:rsidRPr="00992ECF">
        <w:rPr>
          <w:rFonts w:ascii="Bookman Old Style" w:hAnsi="Bookman Old Style" w:cs="UniCenturyOldStyle"/>
          <w:sz w:val="20"/>
          <w:szCs w:val="21"/>
        </w:rPr>
        <w:t>De gjensidige avhengighetene på tvers av samfunnssektorer og på tvers av virksomheter, gjør at det ikke er mulig å sikre de grunnleggende nasjonale funksjonene, uten at det samtidig stilles sikkerhetsmessige krav til de virksomheter som har en kritisk betydning for disse funksjonene.</w:t>
      </w:r>
      <w:r w:rsidRPr="00992ECF">
        <w:rPr>
          <w:rFonts w:ascii="Bookman Old Style" w:hAnsi="Bookman Old Style" w:cs="UniCenturyOldStyle"/>
          <w:sz w:val="20"/>
          <w:szCs w:val="21"/>
        </w:rPr>
        <w:t>»</w:t>
      </w:r>
    </w:p>
    <w:p w:rsidR="009B464E" w:rsidRDefault="009B464E" w:rsidP="009B464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:rsidR="009B464E" w:rsidRDefault="00992ECF" w:rsidP="009B464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Det er en gåte for oss å forstå hvordan utvalget kan men</w:t>
      </w:r>
      <w:r w:rsidR="000F46F0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at de sikkerhetsmessige gevinstene, formodentlig av utvalgets foreslåtte tiltak, vil overstige de ulempene som blir pålagt enkelte virksomheter</w:t>
      </w:r>
      <w:r w:rsidR="005D74FA">
        <w:rPr>
          <w:rFonts w:ascii="Bookman Old Style" w:hAnsi="Bookman Old Style"/>
        </w:rPr>
        <w:t>,</w:t>
      </w:r>
      <w:r w:rsidR="00772B73">
        <w:rPr>
          <w:rFonts w:ascii="Bookman Old Style" w:hAnsi="Bookman Old Style"/>
        </w:rPr>
        <w:t xml:space="preserve"> når man ikke en gang makter </w:t>
      </w:r>
      <w:r>
        <w:rPr>
          <w:rFonts w:ascii="Bookman Old Style" w:hAnsi="Bookman Old Style"/>
        </w:rPr>
        <w:t xml:space="preserve">å peke konkret på hvilke (typer) virksomheter dette gjelder. </w:t>
      </w:r>
    </w:p>
    <w:p w:rsidR="00772B73" w:rsidRDefault="00772B73" w:rsidP="009B464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:rsidR="00634C33" w:rsidRPr="003E5BB5" w:rsidRDefault="00772B73" w:rsidP="006D76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Vår anbefaling er at utredningen legges i en skuff. Er det tvingende behov for å utbedre gjeldende sikkerhetslov</w:t>
      </w:r>
      <w:r w:rsidR="006D7612">
        <w:rPr>
          <w:rFonts w:ascii="Bookman Old Style" w:hAnsi="Bookman Old Style"/>
        </w:rPr>
        <w:t>, foreslår vi at det håndplukkes personer til et nytt utvalg, som er i stand til å formulere en lov</w:t>
      </w:r>
      <w:r w:rsidR="000F46F0">
        <w:rPr>
          <w:rFonts w:ascii="Bookman Old Style" w:hAnsi="Bookman Old Style"/>
        </w:rPr>
        <w:t>tekst</w:t>
      </w:r>
      <w:r w:rsidR="00407070">
        <w:rPr>
          <w:rFonts w:ascii="Bookman Old Style" w:hAnsi="Bookman Old Style"/>
        </w:rPr>
        <w:t>,</w:t>
      </w:r>
      <w:r w:rsidR="000F46F0">
        <w:rPr>
          <w:rFonts w:ascii="Bookman Old Style" w:hAnsi="Bookman Old Style"/>
        </w:rPr>
        <w:t xml:space="preserve"> </w:t>
      </w:r>
      <w:r w:rsidR="00407070">
        <w:rPr>
          <w:rFonts w:ascii="Bookman Old Style" w:hAnsi="Bookman Old Style"/>
        </w:rPr>
        <w:t xml:space="preserve">med </w:t>
      </w:r>
      <w:r w:rsidR="000F46F0">
        <w:rPr>
          <w:rFonts w:ascii="Bookman Old Style" w:hAnsi="Bookman Old Style"/>
        </w:rPr>
        <w:t>premisser</w:t>
      </w:r>
      <w:r w:rsidR="00407070">
        <w:rPr>
          <w:rFonts w:ascii="Bookman Old Style" w:hAnsi="Bookman Old Style"/>
        </w:rPr>
        <w:t>,</w:t>
      </w:r>
      <w:r w:rsidR="006D7612">
        <w:rPr>
          <w:rFonts w:ascii="Bookman Old Style" w:hAnsi="Bookman Old Style"/>
        </w:rPr>
        <w:t xml:space="preserve"> som er forståelig</w:t>
      </w:r>
      <w:r w:rsidR="000F46F0">
        <w:rPr>
          <w:rFonts w:ascii="Bookman Old Style" w:hAnsi="Bookman Old Style"/>
        </w:rPr>
        <w:t>e</w:t>
      </w:r>
      <w:r w:rsidR="006D7612">
        <w:rPr>
          <w:rFonts w:ascii="Bookman Old Style" w:hAnsi="Bookman Old Style"/>
        </w:rPr>
        <w:t xml:space="preserve">. </w:t>
      </w:r>
    </w:p>
    <w:p w:rsidR="00634C33" w:rsidRPr="003E5BB5" w:rsidRDefault="00634C33">
      <w:pPr>
        <w:rPr>
          <w:rFonts w:ascii="Bookman Old Style" w:hAnsi="Bookman Old Style"/>
        </w:rPr>
      </w:pPr>
    </w:p>
    <w:p w:rsidR="00634C33" w:rsidRPr="003E5BB5" w:rsidRDefault="00634C33" w:rsidP="00634C33">
      <w:pPr>
        <w:pStyle w:val="BodyText"/>
        <w:kinsoku w:val="0"/>
        <w:overflowPunct w:val="0"/>
        <w:spacing w:before="53"/>
        <w:ind w:left="187" w:right="90"/>
        <w:rPr>
          <w:rFonts w:ascii="Bookman Old Style" w:hAnsi="Bookman Old Style"/>
          <w:sz w:val="22"/>
        </w:rPr>
      </w:pPr>
      <w:r w:rsidRPr="003E5BB5">
        <w:rPr>
          <w:rFonts w:ascii="Bookman Old Style" w:hAnsi="Bookman Old Style"/>
          <w:sz w:val="22"/>
        </w:rPr>
        <w:t xml:space="preserve">                                                             Med hilsen</w:t>
      </w:r>
    </w:p>
    <w:p w:rsidR="00634C33" w:rsidRDefault="00634C33" w:rsidP="00634C33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634C33" w:rsidRDefault="00634C33" w:rsidP="00634C33">
      <w:pPr>
        <w:pStyle w:val="BodyText"/>
        <w:kinsoku w:val="0"/>
        <w:overflowPunct w:val="0"/>
        <w:spacing w:before="178"/>
        <w:ind w:left="198" w:right="90"/>
      </w:pPr>
      <w:r>
        <w:t xml:space="preserve">Norsk Presseforbund                   </w:t>
      </w:r>
      <w:r>
        <w:tab/>
        <w:t xml:space="preserve">        Norsk Journalistlag                                    Norsk Redaktørforening</w:t>
      </w:r>
    </w:p>
    <w:p w:rsidR="00634C33" w:rsidRDefault="00634C33" w:rsidP="00634C33">
      <w:pPr>
        <w:pStyle w:val="BodyText"/>
        <w:tabs>
          <w:tab w:val="left" w:pos="3250"/>
          <w:tab w:val="left" w:pos="6822"/>
        </w:tabs>
        <w:kinsoku w:val="0"/>
        <w:overflowPunct w:val="0"/>
        <w:ind w:left="218"/>
        <w:rPr>
          <w:position w:val="2"/>
        </w:rPr>
      </w:pPr>
      <w:r>
        <w:rPr>
          <w:noProof/>
          <w:position w:val="1"/>
          <w:lang w:eastAsia="nb-NO"/>
        </w:rPr>
        <w:drawing>
          <wp:inline distT="0" distB="0" distL="0" distR="0" wp14:anchorId="33E879E7" wp14:editId="7899657C">
            <wp:extent cx="991870" cy="543560"/>
            <wp:effectExtent l="0" t="0" r="0" b="889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</w:t>
      </w:r>
      <w:r>
        <w:rPr>
          <w:position w:val="1"/>
        </w:rPr>
        <w:tab/>
      </w:r>
      <w:r>
        <w:rPr>
          <w:noProof/>
          <w:lang w:eastAsia="nb-NO"/>
        </w:rPr>
        <w:drawing>
          <wp:inline distT="0" distB="0" distL="0" distR="0" wp14:anchorId="2FD74CB2" wp14:editId="71A60BDF">
            <wp:extent cx="1414780" cy="38798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  <w:position w:val="2"/>
          <w:lang w:eastAsia="nb-NO"/>
        </w:rPr>
        <w:drawing>
          <wp:inline distT="0" distB="0" distL="0" distR="0" wp14:anchorId="0A226798" wp14:editId="64ECF62D">
            <wp:extent cx="1061085" cy="594995"/>
            <wp:effectExtent l="0" t="0" r="571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33" w:rsidRDefault="00634C33" w:rsidP="00634C33">
      <w:pPr>
        <w:pStyle w:val="BodyText"/>
        <w:kinsoku w:val="0"/>
        <w:overflowPunct w:val="0"/>
        <w:rPr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3449"/>
        <w:gridCol w:w="2524"/>
      </w:tblGrid>
      <w:tr w:rsidR="00634C33" w:rsidTr="00817353">
        <w:trPr>
          <w:trHeight w:hRule="exact" w:val="369"/>
        </w:trPr>
        <w:tc>
          <w:tcPr>
            <w:tcW w:w="23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34C33" w:rsidRDefault="00634C33" w:rsidP="00817353">
            <w:pPr>
              <w:pStyle w:val="TableParagraph"/>
              <w:kinsoku w:val="0"/>
              <w:overflowPunct w:val="0"/>
              <w:spacing w:line="247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Nils E. Øy</w:t>
            </w:r>
          </w:p>
        </w:tc>
        <w:tc>
          <w:tcPr>
            <w:tcW w:w="3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34C33" w:rsidRDefault="00634C33" w:rsidP="00817353">
            <w:pPr>
              <w:pStyle w:val="TableParagraph"/>
              <w:kinsoku w:val="0"/>
              <w:overflowPunct w:val="0"/>
              <w:spacing w:line="247" w:lineRule="exact"/>
              <w:ind w:left="854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Ina Lindahl Nyrud</w:t>
            </w:r>
          </w:p>
        </w:tc>
        <w:tc>
          <w:tcPr>
            <w:tcW w:w="2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34C33" w:rsidRDefault="00634C33" w:rsidP="00817353">
            <w:pPr>
              <w:pStyle w:val="TableParagraph"/>
              <w:kinsoku w:val="0"/>
              <w:overflowPunct w:val="0"/>
              <w:spacing w:line="247" w:lineRule="exact"/>
              <w:ind w:left="895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Arne Jensen</w:t>
            </w:r>
          </w:p>
        </w:tc>
      </w:tr>
      <w:tr w:rsidR="00634C33" w:rsidTr="00817353">
        <w:trPr>
          <w:trHeight w:hRule="exact" w:val="369"/>
        </w:trPr>
        <w:tc>
          <w:tcPr>
            <w:tcW w:w="23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34C33" w:rsidRDefault="00634C33" w:rsidP="00817353">
            <w:pPr>
              <w:pStyle w:val="TableParagraph"/>
              <w:kinsoku w:val="0"/>
              <w:overflowPunct w:val="0"/>
              <w:spacing w:before="116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2"/>
                <w:szCs w:val="22"/>
              </w:rPr>
              <w:t>generalsekretær (kst)</w:t>
            </w:r>
          </w:p>
        </w:tc>
        <w:tc>
          <w:tcPr>
            <w:tcW w:w="3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34C33" w:rsidRDefault="00634C33" w:rsidP="00817353">
            <w:pPr>
              <w:pStyle w:val="TableParagraph"/>
              <w:kinsoku w:val="0"/>
              <w:overflowPunct w:val="0"/>
              <w:spacing w:before="116"/>
              <w:ind w:left="859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2"/>
                <w:szCs w:val="22"/>
              </w:rPr>
              <w:t>advokat</w:t>
            </w:r>
          </w:p>
        </w:tc>
        <w:tc>
          <w:tcPr>
            <w:tcW w:w="2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34C33" w:rsidRDefault="00634C33" w:rsidP="00817353">
            <w:pPr>
              <w:pStyle w:val="TableParagraph"/>
              <w:kinsoku w:val="0"/>
              <w:overflowPunct w:val="0"/>
              <w:spacing w:before="116"/>
              <w:ind w:left="871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2"/>
                <w:szCs w:val="22"/>
              </w:rPr>
              <w:t>generalsekretær</w:t>
            </w:r>
          </w:p>
        </w:tc>
      </w:tr>
    </w:tbl>
    <w:p w:rsidR="00634C33" w:rsidRDefault="00634C33" w:rsidP="00634C33"/>
    <w:p w:rsidR="00634C33" w:rsidRDefault="00634C33"/>
    <w:sectPr w:rsidR="00634C33" w:rsidSect="00D07656">
      <w:foot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70" w:rsidRDefault="00185D70" w:rsidP="00D73F15">
      <w:pPr>
        <w:spacing w:after="0" w:line="240" w:lineRule="auto"/>
      </w:pPr>
      <w:r>
        <w:separator/>
      </w:r>
    </w:p>
  </w:endnote>
  <w:endnote w:type="continuationSeparator" w:id="0">
    <w:p w:rsidR="00185D70" w:rsidRDefault="00185D70" w:rsidP="00D7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Century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798499"/>
      <w:docPartObj>
        <w:docPartGallery w:val="Page Numbers (Bottom of Page)"/>
        <w:docPartUnique/>
      </w:docPartObj>
    </w:sdtPr>
    <w:sdtEndPr/>
    <w:sdtContent>
      <w:p w:rsidR="00D73F15" w:rsidRDefault="00D73F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6E">
          <w:rPr>
            <w:noProof/>
          </w:rPr>
          <w:t>2</w:t>
        </w:r>
        <w:r>
          <w:fldChar w:fldCharType="end"/>
        </w:r>
      </w:p>
    </w:sdtContent>
  </w:sdt>
  <w:p w:rsidR="00D73F15" w:rsidRDefault="00D73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70" w:rsidRDefault="00185D70" w:rsidP="00D73F15">
      <w:pPr>
        <w:spacing w:after="0" w:line="240" w:lineRule="auto"/>
      </w:pPr>
      <w:r>
        <w:separator/>
      </w:r>
    </w:p>
  </w:footnote>
  <w:footnote w:type="continuationSeparator" w:id="0">
    <w:p w:rsidR="00185D70" w:rsidRDefault="00185D70" w:rsidP="00D73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56"/>
    <w:rsid w:val="000F46F0"/>
    <w:rsid w:val="00110214"/>
    <w:rsid w:val="00160D71"/>
    <w:rsid w:val="00185D70"/>
    <w:rsid w:val="00222DD3"/>
    <w:rsid w:val="003E5BB5"/>
    <w:rsid w:val="00407070"/>
    <w:rsid w:val="005D682E"/>
    <w:rsid w:val="005D74FA"/>
    <w:rsid w:val="006302AC"/>
    <w:rsid w:val="00634C33"/>
    <w:rsid w:val="006D7612"/>
    <w:rsid w:val="00772B73"/>
    <w:rsid w:val="00794714"/>
    <w:rsid w:val="0088321C"/>
    <w:rsid w:val="00992ECF"/>
    <w:rsid w:val="009B464E"/>
    <w:rsid w:val="009F4251"/>
    <w:rsid w:val="00A12E77"/>
    <w:rsid w:val="00AC17BA"/>
    <w:rsid w:val="00BF77CF"/>
    <w:rsid w:val="00D07656"/>
    <w:rsid w:val="00D73F15"/>
    <w:rsid w:val="00DA616E"/>
    <w:rsid w:val="00F87446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500B5-0256-4605-86CE-66065D6B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7656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656"/>
    <w:pPr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7656"/>
    <w:rPr>
      <w:rFonts w:ascii="Times New Roman" w:hAnsi="Times New Roman" w:cs="Times New Roman"/>
      <w:sz w:val="20"/>
      <w:szCs w:val="20"/>
      <w:lang w:val="nb-NO"/>
    </w:rPr>
  </w:style>
  <w:style w:type="character" w:styleId="Hyperlink">
    <w:name w:val="Hyperlink"/>
    <w:basedOn w:val="DefaultParagraphFont"/>
    <w:uiPriority w:val="99"/>
    <w:unhideWhenUsed/>
    <w:rsid w:val="00A12E7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34C33"/>
    <w:pPr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F0"/>
    <w:rPr>
      <w:rFonts w:ascii="Segoe UI" w:hAnsi="Segoe UI" w:cs="Segoe UI"/>
      <w:sz w:val="18"/>
      <w:szCs w:val="18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D73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15"/>
    <w:rPr>
      <w:lang w:val="nb-NO"/>
    </w:rPr>
  </w:style>
  <w:style w:type="paragraph" w:styleId="Footer">
    <w:name w:val="footer"/>
    <w:basedOn w:val="Normal"/>
    <w:link w:val="FooterChar"/>
    <w:uiPriority w:val="99"/>
    <w:unhideWhenUsed/>
    <w:rsid w:val="00D73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15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postmottak@fd.dep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3223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Øy</dc:creator>
  <cp:keywords/>
  <dc:description/>
  <cp:lastModifiedBy>Arne</cp:lastModifiedBy>
  <cp:revision>2</cp:revision>
  <dcterms:created xsi:type="dcterms:W3CDTF">2017-01-29T20:06:00Z</dcterms:created>
  <dcterms:modified xsi:type="dcterms:W3CDTF">2017-01-29T20:06:00Z</dcterms:modified>
</cp:coreProperties>
</file>