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23" w:rsidRPr="00407FD3" w:rsidRDefault="001979E8" w:rsidP="000B6F26">
      <w:r w:rsidRPr="00407FD3">
        <w:t>Norsk Redaktørforening</w:t>
      </w:r>
    </w:p>
    <w:p w:rsidR="001979E8" w:rsidRPr="00407FD3" w:rsidRDefault="001979E8">
      <w:pPr>
        <w:rPr>
          <w:rFonts w:ascii="Times New Roman" w:hAnsi="Times New Roman"/>
          <w:sz w:val="24"/>
          <w:szCs w:val="24"/>
        </w:rPr>
      </w:pPr>
      <w:r w:rsidRPr="00407FD3">
        <w:rPr>
          <w:rFonts w:ascii="Times New Roman" w:hAnsi="Times New Roman"/>
          <w:sz w:val="24"/>
          <w:szCs w:val="24"/>
        </w:rPr>
        <w:t xml:space="preserve">Styremøte </w:t>
      </w:r>
      <w:r w:rsidR="000561B9" w:rsidRPr="00407FD3">
        <w:rPr>
          <w:rFonts w:ascii="Times New Roman" w:hAnsi="Times New Roman"/>
          <w:sz w:val="24"/>
          <w:szCs w:val="24"/>
        </w:rPr>
        <w:t>201</w:t>
      </w:r>
      <w:r w:rsidR="00D237E1">
        <w:rPr>
          <w:rFonts w:ascii="Times New Roman" w:hAnsi="Times New Roman"/>
          <w:sz w:val="24"/>
          <w:szCs w:val="24"/>
        </w:rPr>
        <w:t>6</w:t>
      </w:r>
      <w:r w:rsidR="006B74D2" w:rsidRPr="00407FD3">
        <w:rPr>
          <w:rFonts w:ascii="Times New Roman" w:hAnsi="Times New Roman"/>
          <w:sz w:val="24"/>
          <w:szCs w:val="24"/>
        </w:rPr>
        <w:t>-</w:t>
      </w:r>
      <w:r w:rsidR="00D237E1">
        <w:rPr>
          <w:rFonts w:ascii="Times New Roman" w:hAnsi="Times New Roman"/>
          <w:sz w:val="24"/>
          <w:szCs w:val="24"/>
        </w:rPr>
        <w:t>0</w:t>
      </w:r>
      <w:r w:rsidR="00C41E8F">
        <w:rPr>
          <w:rFonts w:ascii="Times New Roman" w:hAnsi="Times New Roman"/>
          <w:sz w:val="24"/>
          <w:szCs w:val="24"/>
        </w:rPr>
        <w:t>9</w:t>
      </w:r>
      <w:r w:rsidR="006B74D2" w:rsidRPr="00407FD3">
        <w:rPr>
          <w:rFonts w:ascii="Times New Roman" w:hAnsi="Times New Roman"/>
          <w:sz w:val="24"/>
          <w:szCs w:val="24"/>
        </w:rPr>
        <w:t>-</w:t>
      </w:r>
      <w:r w:rsidR="00C41E8F">
        <w:rPr>
          <w:rFonts w:ascii="Times New Roman" w:hAnsi="Times New Roman"/>
          <w:sz w:val="24"/>
          <w:szCs w:val="24"/>
        </w:rPr>
        <w:t>23</w:t>
      </w:r>
      <w:r w:rsidR="000231E3">
        <w:rPr>
          <w:rFonts w:ascii="Times New Roman" w:hAnsi="Times New Roman"/>
          <w:sz w:val="24"/>
          <w:szCs w:val="24"/>
        </w:rPr>
        <w:t xml:space="preserve"> </w:t>
      </w:r>
      <w:r w:rsidR="00D237E1">
        <w:rPr>
          <w:rFonts w:ascii="Times New Roman" w:hAnsi="Times New Roman"/>
          <w:sz w:val="24"/>
          <w:szCs w:val="24"/>
        </w:rPr>
        <w:t>Be</w:t>
      </w:r>
      <w:r w:rsidR="00C41E8F">
        <w:rPr>
          <w:rFonts w:ascii="Times New Roman" w:hAnsi="Times New Roman"/>
          <w:sz w:val="24"/>
          <w:szCs w:val="24"/>
        </w:rPr>
        <w:t>rlin</w:t>
      </w:r>
    </w:p>
    <w:p w:rsidR="0066147F" w:rsidRPr="00407FD3" w:rsidRDefault="009A560E">
      <w:pPr>
        <w:rPr>
          <w:rFonts w:ascii="Times New Roman" w:hAnsi="Times New Roman"/>
          <w:sz w:val="24"/>
          <w:szCs w:val="24"/>
        </w:rPr>
      </w:pPr>
      <w:r w:rsidRPr="00407FD3">
        <w:rPr>
          <w:rFonts w:ascii="Times New Roman" w:hAnsi="Times New Roman"/>
          <w:sz w:val="24"/>
          <w:szCs w:val="24"/>
        </w:rPr>
        <w:t>AJ</w:t>
      </w:r>
    </w:p>
    <w:p w:rsidR="001979E8" w:rsidRDefault="001979E8">
      <w:pPr>
        <w:rPr>
          <w:rFonts w:ascii="Times New Roman" w:hAnsi="Times New Roman"/>
          <w:sz w:val="24"/>
          <w:szCs w:val="24"/>
        </w:rPr>
      </w:pPr>
    </w:p>
    <w:p w:rsidR="00474D79" w:rsidRDefault="00474D79">
      <w:pPr>
        <w:rPr>
          <w:rFonts w:ascii="Arial" w:hAnsi="Arial" w:cs="Arial"/>
          <w:b/>
          <w:i/>
          <w:sz w:val="28"/>
          <w:szCs w:val="28"/>
        </w:rPr>
      </w:pPr>
    </w:p>
    <w:p w:rsidR="00407FD3" w:rsidRDefault="00004621">
      <w:pPr>
        <w:rPr>
          <w:rFonts w:ascii="Arial" w:hAnsi="Arial" w:cs="Arial"/>
          <w:b/>
          <w:i/>
          <w:sz w:val="28"/>
          <w:szCs w:val="28"/>
        </w:rPr>
      </w:pPr>
      <w:r>
        <w:rPr>
          <w:rFonts w:ascii="Arial" w:hAnsi="Arial" w:cs="Arial"/>
          <w:b/>
          <w:i/>
          <w:sz w:val="28"/>
          <w:szCs w:val="28"/>
        </w:rPr>
        <w:t>Sak 201</w:t>
      </w:r>
      <w:r w:rsidR="00D237E1">
        <w:rPr>
          <w:rFonts w:ascii="Arial" w:hAnsi="Arial" w:cs="Arial"/>
          <w:b/>
          <w:i/>
          <w:sz w:val="28"/>
          <w:szCs w:val="28"/>
        </w:rPr>
        <w:t>6</w:t>
      </w:r>
      <w:r w:rsidR="001979E8" w:rsidRPr="001979E8">
        <w:rPr>
          <w:rFonts w:ascii="Arial" w:hAnsi="Arial" w:cs="Arial"/>
          <w:b/>
          <w:i/>
          <w:sz w:val="28"/>
          <w:szCs w:val="28"/>
        </w:rPr>
        <w:t>-</w:t>
      </w:r>
      <w:r w:rsidR="00C41E8F">
        <w:rPr>
          <w:rFonts w:ascii="Arial" w:hAnsi="Arial" w:cs="Arial"/>
          <w:b/>
          <w:i/>
          <w:sz w:val="28"/>
          <w:szCs w:val="28"/>
        </w:rPr>
        <w:t>38</w:t>
      </w:r>
      <w:r w:rsidR="001979E8" w:rsidRPr="001979E8">
        <w:rPr>
          <w:rFonts w:ascii="Arial" w:hAnsi="Arial" w:cs="Arial"/>
          <w:b/>
          <w:i/>
          <w:sz w:val="28"/>
          <w:szCs w:val="28"/>
        </w:rPr>
        <w:t xml:space="preserve">: </w:t>
      </w:r>
      <w:bookmarkStart w:id="0" w:name="_GoBack"/>
      <w:bookmarkEnd w:id="0"/>
      <w:r w:rsidR="00407FD3">
        <w:rPr>
          <w:rFonts w:ascii="Arial" w:hAnsi="Arial" w:cs="Arial"/>
          <w:b/>
          <w:i/>
          <w:sz w:val="28"/>
          <w:szCs w:val="28"/>
        </w:rPr>
        <w:t>Regnskapsrapport per 3</w:t>
      </w:r>
      <w:r w:rsidR="00C41E8F">
        <w:rPr>
          <w:rFonts w:ascii="Arial" w:hAnsi="Arial" w:cs="Arial"/>
          <w:b/>
          <w:i/>
          <w:sz w:val="28"/>
          <w:szCs w:val="28"/>
        </w:rPr>
        <w:t>1</w:t>
      </w:r>
      <w:r w:rsidR="00407FD3">
        <w:rPr>
          <w:rFonts w:ascii="Arial" w:hAnsi="Arial" w:cs="Arial"/>
          <w:b/>
          <w:i/>
          <w:sz w:val="28"/>
          <w:szCs w:val="28"/>
        </w:rPr>
        <w:t>.</w:t>
      </w:r>
      <w:r w:rsidR="00D237E1">
        <w:rPr>
          <w:rFonts w:ascii="Arial" w:hAnsi="Arial" w:cs="Arial"/>
          <w:b/>
          <w:i/>
          <w:sz w:val="28"/>
          <w:szCs w:val="28"/>
        </w:rPr>
        <w:t>a</w:t>
      </w:r>
      <w:r w:rsidR="00C41E8F">
        <w:rPr>
          <w:rFonts w:ascii="Arial" w:hAnsi="Arial" w:cs="Arial"/>
          <w:b/>
          <w:i/>
          <w:sz w:val="28"/>
          <w:szCs w:val="28"/>
        </w:rPr>
        <w:t>ugust</w:t>
      </w:r>
      <w:r w:rsidR="000231E3">
        <w:rPr>
          <w:rFonts w:ascii="Arial" w:hAnsi="Arial" w:cs="Arial"/>
          <w:b/>
          <w:i/>
          <w:sz w:val="28"/>
          <w:szCs w:val="28"/>
        </w:rPr>
        <w:t xml:space="preserve"> 201</w:t>
      </w:r>
      <w:r w:rsidR="00D237E1">
        <w:rPr>
          <w:rFonts w:ascii="Arial" w:hAnsi="Arial" w:cs="Arial"/>
          <w:b/>
          <w:i/>
          <w:sz w:val="28"/>
          <w:szCs w:val="28"/>
        </w:rPr>
        <w:t>6</w:t>
      </w:r>
    </w:p>
    <w:p w:rsidR="0058391E" w:rsidRDefault="00407FD3">
      <w:pPr>
        <w:rPr>
          <w:rFonts w:ascii="Times New Roman" w:hAnsi="Times New Roman"/>
          <w:sz w:val="24"/>
          <w:szCs w:val="24"/>
        </w:rPr>
      </w:pPr>
      <w:r>
        <w:rPr>
          <w:rFonts w:ascii="Arial" w:hAnsi="Arial" w:cs="Arial"/>
          <w:b/>
          <w:i/>
          <w:sz w:val="28"/>
          <w:szCs w:val="28"/>
        </w:rPr>
        <w:t xml:space="preserve">                      </w:t>
      </w:r>
    </w:p>
    <w:p w:rsidR="000231E3" w:rsidRPr="000231E3" w:rsidRDefault="000231E3" w:rsidP="000231E3">
      <w:pPr>
        <w:rPr>
          <w:rFonts w:ascii="Times New Roman" w:hAnsi="Times New Roman"/>
          <w:sz w:val="24"/>
          <w:szCs w:val="24"/>
        </w:rPr>
      </w:pPr>
      <w:r w:rsidRPr="000231E3">
        <w:rPr>
          <w:rFonts w:ascii="Times New Roman" w:hAnsi="Times New Roman"/>
          <w:sz w:val="24"/>
          <w:szCs w:val="24"/>
        </w:rPr>
        <w:t xml:space="preserve">Vedlagt følger oppstilling for driftsregnskap og balanse per </w:t>
      </w:r>
      <w:r w:rsidR="00D237E1">
        <w:rPr>
          <w:rFonts w:ascii="Times New Roman" w:hAnsi="Times New Roman"/>
          <w:sz w:val="24"/>
          <w:szCs w:val="24"/>
        </w:rPr>
        <w:t>3</w:t>
      </w:r>
      <w:r w:rsidR="00C41E8F">
        <w:rPr>
          <w:rFonts w:ascii="Times New Roman" w:hAnsi="Times New Roman"/>
          <w:sz w:val="24"/>
          <w:szCs w:val="24"/>
        </w:rPr>
        <w:t>1</w:t>
      </w:r>
      <w:r w:rsidR="00D237E1">
        <w:rPr>
          <w:rFonts w:ascii="Times New Roman" w:hAnsi="Times New Roman"/>
          <w:sz w:val="24"/>
          <w:szCs w:val="24"/>
        </w:rPr>
        <w:t xml:space="preserve">. </w:t>
      </w:r>
      <w:r w:rsidR="00C41E8F">
        <w:rPr>
          <w:rFonts w:ascii="Times New Roman" w:hAnsi="Times New Roman"/>
          <w:sz w:val="24"/>
          <w:szCs w:val="24"/>
        </w:rPr>
        <w:t>august</w:t>
      </w:r>
      <w:r w:rsidRPr="000231E3">
        <w:rPr>
          <w:rFonts w:ascii="Times New Roman" w:hAnsi="Times New Roman"/>
          <w:sz w:val="24"/>
          <w:szCs w:val="24"/>
        </w:rPr>
        <w:t xml:space="preserve">. Grunnet periodisering av så vel inntekter som utgifter, samt enkelte andre særlige forhold, </w:t>
      </w:r>
      <w:r w:rsidR="00B00E26">
        <w:rPr>
          <w:rFonts w:ascii="Times New Roman" w:hAnsi="Times New Roman"/>
          <w:sz w:val="24"/>
          <w:szCs w:val="24"/>
        </w:rPr>
        <w:t>blir</w:t>
      </w:r>
      <w:r w:rsidRPr="000231E3">
        <w:rPr>
          <w:rFonts w:ascii="Times New Roman" w:hAnsi="Times New Roman"/>
          <w:sz w:val="24"/>
          <w:szCs w:val="24"/>
        </w:rPr>
        <w:t xml:space="preserve"> enkelte av postene </w:t>
      </w:r>
      <w:r w:rsidR="00B00E26">
        <w:rPr>
          <w:rFonts w:ascii="Times New Roman" w:hAnsi="Times New Roman"/>
          <w:sz w:val="24"/>
          <w:szCs w:val="24"/>
        </w:rPr>
        <w:t xml:space="preserve">forklart </w:t>
      </w:r>
      <w:r w:rsidRPr="000231E3">
        <w:rPr>
          <w:rFonts w:ascii="Times New Roman" w:hAnsi="Times New Roman"/>
          <w:sz w:val="24"/>
          <w:szCs w:val="24"/>
        </w:rPr>
        <w:t xml:space="preserve">nærmere. I det følgende går vi gjennom regnskapsrapporten </w:t>
      </w:r>
      <w:r w:rsidR="00C41E8F">
        <w:rPr>
          <w:rFonts w:ascii="Times New Roman" w:hAnsi="Times New Roman"/>
          <w:sz w:val="24"/>
          <w:szCs w:val="24"/>
        </w:rPr>
        <w:t>kronologisk</w:t>
      </w:r>
      <w:r w:rsidRPr="000231E3">
        <w:rPr>
          <w:rFonts w:ascii="Times New Roman" w:hAnsi="Times New Roman"/>
          <w:sz w:val="24"/>
          <w:szCs w:val="24"/>
        </w:rPr>
        <w:t>.</w:t>
      </w:r>
    </w:p>
    <w:p w:rsidR="00407FD3" w:rsidRDefault="00407FD3">
      <w:pPr>
        <w:rPr>
          <w:rFonts w:ascii="Times New Roman" w:hAnsi="Times New Roman"/>
          <w:sz w:val="24"/>
          <w:szCs w:val="24"/>
        </w:rPr>
      </w:pPr>
    </w:p>
    <w:p w:rsidR="000231E3" w:rsidRPr="000231E3" w:rsidRDefault="000231E3">
      <w:pPr>
        <w:rPr>
          <w:rFonts w:ascii="Times New Roman" w:hAnsi="Times New Roman"/>
          <w:b/>
          <w:sz w:val="24"/>
          <w:szCs w:val="24"/>
        </w:rPr>
      </w:pPr>
      <w:r>
        <w:rPr>
          <w:rFonts w:ascii="Times New Roman" w:hAnsi="Times New Roman"/>
          <w:b/>
          <w:sz w:val="24"/>
          <w:szCs w:val="24"/>
        </w:rPr>
        <w:t>Inntekter</w:t>
      </w:r>
    </w:p>
    <w:p w:rsidR="000231E3" w:rsidRDefault="000231E3" w:rsidP="000231E3">
      <w:pPr>
        <w:rPr>
          <w:rFonts w:ascii="Times New Roman" w:hAnsi="Times New Roman"/>
          <w:sz w:val="24"/>
          <w:szCs w:val="24"/>
        </w:rPr>
      </w:pPr>
      <w:r>
        <w:rPr>
          <w:rFonts w:ascii="Times New Roman" w:hAnsi="Times New Roman"/>
          <w:sz w:val="24"/>
          <w:szCs w:val="24"/>
        </w:rPr>
        <w:t>Bok</w:t>
      </w:r>
      <w:r w:rsidRPr="000231E3">
        <w:rPr>
          <w:rFonts w:ascii="Times New Roman" w:hAnsi="Times New Roman"/>
          <w:sz w:val="24"/>
          <w:szCs w:val="24"/>
        </w:rPr>
        <w:t xml:space="preserve">ført </w:t>
      </w:r>
      <w:r w:rsidRPr="000231E3">
        <w:rPr>
          <w:rFonts w:ascii="Times New Roman" w:hAnsi="Times New Roman"/>
          <w:sz w:val="24"/>
          <w:szCs w:val="24"/>
          <w:u w:val="single"/>
        </w:rPr>
        <w:t>NR-kontingent</w:t>
      </w:r>
      <w:r w:rsidRPr="000231E3">
        <w:rPr>
          <w:rFonts w:ascii="Times New Roman" w:hAnsi="Times New Roman"/>
          <w:sz w:val="24"/>
          <w:szCs w:val="24"/>
        </w:rPr>
        <w:t xml:space="preserve"> ved utløpet av </w:t>
      </w:r>
      <w:r w:rsidR="00C41E8F">
        <w:rPr>
          <w:rFonts w:ascii="Times New Roman" w:hAnsi="Times New Roman"/>
          <w:sz w:val="24"/>
          <w:szCs w:val="24"/>
        </w:rPr>
        <w:t xml:space="preserve">august ligger svært nært opp til det budsjetterte. Ser vi på periodisert kontingenter i balansen i tillegg, tyder alt på at vi vil nå det budsjetterte inntektsmålet hva gjelder kontingenter, det vil si tilsvarende rundt 700 årskontingenter. </w:t>
      </w:r>
      <w:r>
        <w:rPr>
          <w:rFonts w:ascii="Times New Roman" w:hAnsi="Times New Roman"/>
          <w:sz w:val="24"/>
          <w:szCs w:val="24"/>
        </w:rPr>
        <w:t xml:space="preserve">Det registrerte medlemstallet synes </w:t>
      </w:r>
      <w:r w:rsidR="00B00E26">
        <w:rPr>
          <w:rFonts w:ascii="Times New Roman" w:hAnsi="Times New Roman"/>
          <w:sz w:val="24"/>
          <w:szCs w:val="24"/>
        </w:rPr>
        <w:t>nå å ha stabilisert seg p</w:t>
      </w:r>
      <w:r>
        <w:rPr>
          <w:rFonts w:ascii="Times New Roman" w:hAnsi="Times New Roman"/>
          <w:sz w:val="24"/>
          <w:szCs w:val="24"/>
        </w:rPr>
        <w:t xml:space="preserve">å </w:t>
      </w:r>
      <w:r w:rsidR="00B00E26">
        <w:rPr>
          <w:rFonts w:ascii="Times New Roman" w:hAnsi="Times New Roman"/>
          <w:sz w:val="24"/>
          <w:szCs w:val="24"/>
        </w:rPr>
        <w:t>rundt 7</w:t>
      </w:r>
      <w:r w:rsidR="00C41E8F">
        <w:rPr>
          <w:rFonts w:ascii="Times New Roman" w:hAnsi="Times New Roman"/>
          <w:sz w:val="24"/>
          <w:szCs w:val="24"/>
        </w:rPr>
        <w:t>2</w:t>
      </w:r>
      <w:r w:rsidR="00D237E1">
        <w:rPr>
          <w:rFonts w:ascii="Times New Roman" w:hAnsi="Times New Roman"/>
          <w:sz w:val="24"/>
          <w:szCs w:val="24"/>
        </w:rPr>
        <w:t>0</w:t>
      </w:r>
      <w:r w:rsidR="00C41E8F">
        <w:rPr>
          <w:rFonts w:ascii="Times New Roman" w:hAnsi="Times New Roman"/>
          <w:sz w:val="24"/>
          <w:szCs w:val="24"/>
        </w:rPr>
        <w:t>. D</w:t>
      </w:r>
      <w:r w:rsidR="002D3EA6">
        <w:rPr>
          <w:rFonts w:ascii="Times New Roman" w:hAnsi="Times New Roman"/>
          <w:sz w:val="24"/>
          <w:szCs w:val="24"/>
        </w:rPr>
        <w:t>et registrerte medlemstallet vil alltid ligge noe høyere enn hva utfakturert medlemskontingent tilsier</w:t>
      </w:r>
      <w:r w:rsidR="00C41E8F">
        <w:rPr>
          <w:rFonts w:ascii="Times New Roman" w:hAnsi="Times New Roman"/>
          <w:sz w:val="24"/>
          <w:szCs w:val="24"/>
        </w:rPr>
        <w:t xml:space="preserve">.  Som omtalt i tidligere regnskapsrapporter er det </w:t>
      </w:r>
      <w:r w:rsidR="00B00E26">
        <w:rPr>
          <w:rFonts w:ascii="Times New Roman" w:hAnsi="Times New Roman"/>
          <w:sz w:val="24"/>
          <w:szCs w:val="24"/>
        </w:rPr>
        <w:t>på grunn av</w:t>
      </w:r>
      <w:r w:rsidR="00C41E8F">
        <w:rPr>
          <w:rFonts w:ascii="Times New Roman" w:hAnsi="Times New Roman"/>
          <w:sz w:val="24"/>
          <w:szCs w:val="24"/>
        </w:rPr>
        <w:t xml:space="preserve"> kutt, omorganiseringer og ellers</w:t>
      </w:r>
      <w:r w:rsidR="00B00E26">
        <w:rPr>
          <w:rFonts w:ascii="Times New Roman" w:hAnsi="Times New Roman"/>
          <w:sz w:val="24"/>
          <w:szCs w:val="24"/>
        </w:rPr>
        <w:t xml:space="preserve"> </w:t>
      </w:r>
      <w:r>
        <w:rPr>
          <w:rFonts w:ascii="Times New Roman" w:hAnsi="Times New Roman"/>
          <w:sz w:val="24"/>
          <w:szCs w:val="24"/>
        </w:rPr>
        <w:t>stor turnover i bransjen</w:t>
      </w:r>
      <w:r w:rsidR="002D3EA6">
        <w:rPr>
          <w:rFonts w:ascii="Times New Roman" w:hAnsi="Times New Roman"/>
          <w:sz w:val="24"/>
          <w:szCs w:val="24"/>
        </w:rPr>
        <w:t>,</w:t>
      </w:r>
      <w:r w:rsidR="00B00E26">
        <w:rPr>
          <w:rFonts w:ascii="Times New Roman" w:hAnsi="Times New Roman"/>
          <w:sz w:val="24"/>
          <w:szCs w:val="24"/>
        </w:rPr>
        <w:t xml:space="preserve"> betydelige utfordringer knyttet til å holde medlemstallet og dermed inntektsmålet</w:t>
      </w:r>
      <w:r>
        <w:rPr>
          <w:rFonts w:ascii="Times New Roman" w:hAnsi="Times New Roman"/>
          <w:sz w:val="24"/>
          <w:szCs w:val="24"/>
        </w:rPr>
        <w:t>.</w:t>
      </w:r>
      <w:r w:rsidR="00D237E1">
        <w:rPr>
          <w:rFonts w:ascii="Times New Roman" w:hAnsi="Times New Roman"/>
          <w:sz w:val="24"/>
          <w:szCs w:val="24"/>
        </w:rPr>
        <w:t xml:space="preserve"> </w:t>
      </w:r>
    </w:p>
    <w:p w:rsidR="00C41E8F" w:rsidRPr="000231E3" w:rsidRDefault="00C41E8F" w:rsidP="000231E3">
      <w:pPr>
        <w:rPr>
          <w:rFonts w:ascii="Times New Roman" w:hAnsi="Times New Roman"/>
          <w:sz w:val="24"/>
          <w:szCs w:val="24"/>
        </w:rPr>
      </w:pPr>
    </w:p>
    <w:p w:rsidR="000231E3" w:rsidRPr="000231E3" w:rsidRDefault="000231E3" w:rsidP="000231E3">
      <w:pPr>
        <w:rPr>
          <w:rFonts w:ascii="Times New Roman" w:hAnsi="Times New Roman"/>
          <w:sz w:val="24"/>
          <w:szCs w:val="24"/>
        </w:rPr>
      </w:pPr>
      <w:r w:rsidRPr="000231E3">
        <w:rPr>
          <w:rFonts w:ascii="Times New Roman" w:hAnsi="Times New Roman"/>
          <w:sz w:val="24"/>
          <w:szCs w:val="24"/>
        </w:rPr>
        <w:t xml:space="preserve">De to neste inntektspostene er normalt forutsigbare og stabile. </w:t>
      </w:r>
      <w:r w:rsidRPr="000231E3">
        <w:rPr>
          <w:rFonts w:ascii="Times New Roman" w:hAnsi="Times New Roman"/>
          <w:sz w:val="24"/>
          <w:szCs w:val="24"/>
          <w:u w:val="single"/>
        </w:rPr>
        <w:t>«Adm. Vederlag»,</w:t>
      </w:r>
      <w:r w:rsidRPr="000231E3">
        <w:rPr>
          <w:rFonts w:ascii="Times New Roman" w:hAnsi="Times New Roman"/>
          <w:sz w:val="24"/>
          <w:szCs w:val="24"/>
        </w:rPr>
        <w:t xml:space="preserve"> som er vederlaget NR får for administrasjon av de kollektive vederlagsmidler som innkreves av Kopinor og Norwaco, vi</w:t>
      </w:r>
      <w:r>
        <w:rPr>
          <w:rFonts w:ascii="Times New Roman" w:hAnsi="Times New Roman"/>
          <w:sz w:val="24"/>
          <w:szCs w:val="24"/>
        </w:rPr>
        <w:t xml:space="preserve">l </w:t>
      </w:r>
      <w:r w:rsidR="00B00E26">
        <w:rPr>
          <w:rFonts w:ascii="Times New Roman" w:hAnsi="Times New Roman"/>
          <w:sz w:val="24"/>
          <w:szCs w:val="24"/>
        </w:rPr>
        <w:t>trolig</w:t>
      </w:r>
      <w:r w:rsidR="00D237E1">
        <w:rPr>
          <w:rFonts w:ascii="Times New Roman" w:hAnsi="Times New Roman"/>
          <w:sz w:val="24"/>
          <w:szCs w:val="24"/>
        </w:rPr>
        <w:t xml:space="preserve"> også i år</w:t>
      </w:r>
      <w:r w:rsidR="00B00E26">
        <w:rPr>
          <w:rFonts w:ascii="Times New Roman" w:hAnsi="Times New Roman"/>
          <w:sz w:val="24"/>
          <w:szCs w:val="24"/>
        </w:rPr>
        <w:t xml:space="preserve"> nå</w:t>
      </w:r>
      <w:r>
        <w:rPr>
          <w:rFonts w:ascii="Times New Roman" w:hAnsi="Times New Roman"/>
          <w:sz w:val="24"/>
          <w:szCs w:val="24"/>
        </w:rPr>
        <w:t xml:space="preserve"> budsjette</w:t>
      </w:r>
      <w:r w:rsidR="00B00E26">
        <w:rPr>
          <w:rFonts w:ascii="Times New Roman" w:hAnsi="Times New Roman"/>
          <w:sz w:val="24"/>
          <w:szCs w:val="24"/>
        </w:rPr>
        <w:t>t</w:t>
      </w:r>
      <w:r w:rsidRPr="000231E3">
        <w:rPr>
          <w:rFonts w:ascii="Times New Roman" w:hAnsi="Times New Roman"/>
          <w:sz w:val="24"/>
          <w:szCs w:val="24"/>
        </w:rPr>
        <w:t xml:space="preserve"> </w:t>
      </w:r>
      <w:r w:rsidRPr="000231E3">
        <w:rPr>
          <w:rFonts w:ascii="Times New Roman" w:hAnsi="Times New Roman"/>
          <w:sz w:val="24"/>
          <w:szCs w:val="24"/>
          <w:u w:val="single"/>
        </w:rPr>
        <w:t>«Refusjon OR»,</w:t>
      </w:r>
      <w:r w:rsidRPr="000231E3">
        <w:rPr>
          <w:rFonts w:ascii="Times New Roman" w:hAnsi="Times New Roman"/>
          <w:sz w:val="24"/>
          <w:szCs w:val="24"/>
        </w:rPr>
        <w:t xml:space="preserve"> som er Oslo Redaktørforenings avtalte betaling for sekretariatstjenester fra NR-sekretariatet</w:t>
      </w:r>
      <w:r w:rsidR="007C706A">
        <w:rPr>
          <w:rFonts w:ascii="Times New Roman" w:hAnsi="Times New Roman"/>
          <w:sz w:val="24"/>
          <w:szCs w:val="24"/>
        </w:rPr>
        <w:t>,</w:t>
      </w:r>
      <w:r w:rsidRPr="000231E3">
        <w:rPr>
          <w:rFonts w:ascii="Times New Roman" w:hAnsi="Times New Roman"/>
          <w:sz w:val="24"/>
          <w:szCs w:val="24"/>
        </w:rPr>
        <w:t xml:space="preserve"> vil bli i samsvar med budsjett. </w:t>
      </w:r>
      <w:r w:rsidR="00D237E1">
        <w:rPr>
          <w:rFonts w:ascii="Times New Roman" w:hAnsi="Times New Roman"/>
          <w:sz w:val="24"/>
          <w:szCs w:val="24"/>
        </w:rPr>
        <w:t>Det samme gjelder «Prosjektmidler/PFF», som er midler fra NRs vederlagsfond til dekning av deler av NRs andel av finansieringen av etikk- og offentlighetsarbeidet i NP, samt delfinansiering av NR Kompetanse.</w:t>
      </w:r>
      <w:r w:rsidR="00C41E8F">
        <w:rPr>
          <w:rFonts w:ascii="Times New Roman" w:hAnsi="Times New Roman"/>
          <w:sz w:val="24"/>
          <w:szCs w:val="24"/>
        </w:rPr>
        <w:t xml:space="preserve"> Differansene mellom periodisert budsjett og perioderegnskapet er rent regnskapsteknisk.</w:t>
      </w:r>
    </w:p>
    <w:p w:rsidR="000231E3" w:rsidRPr="000231E3" w:rsidRDefault="000231E3" w:rsidP="000231E3">
      <w:pPr>
        <w:rPr>
          <w:rFonts w:ascii="Times New Roman" w:hAnsi="Times New Roman"/>
          <w:sz w:val="24"/>
          <w:szCs w:val="24"/>
        </w:rPr>
      </w:pPr>
    </w:p>
    <w:p w:rsidR="000231E3" w:rsidRPr="000231E3" w:rsidRDefault="000231E3" w:rsidP="000231E3">
      <w:pPr>
        <w:rPr>
          <w:rFonts w:ascii="Times New Roman" w:hAnsi="Times New Roman"/>
          <w:sz w:val="24"/>
          <w:szCs w:val="24"/>
        </w:rPr>
      </w:pPr>
      <w:r w:rsidRPr="000231E3">
        <w:rPr>
          <w:rFonts w:ascii="Times New Roman" w:hAnsi="Times New Roman"/>
          <w:sz w:val="24"/>
          <w:szCs w:val="24"/>
        </w:rPr>
        <w:t xml:space="preserve">Posten </w:t>
      </w:r>
      <w:r w:rsidRPr="000231E3">
        <w:rPr>
          <w:rFonts w:ascii="Times New Roman" w:hAnsi="Times New Roman"/>
          <w:sz w:val="24"/>
          <w:szCs w:val="24"/>
          <w:u w:val="single"/>
        </w:rPr>
        <w:t>møteinntekter</w:t>
      </w:r>
      <w:r w:rsidRPr="000231E3">
        <w:rPr>
          <w:rFonts w:ascii="Times New Roman" w:hAnsi="Times New Roman"/>
          <w:sz w:val="24"/>
          <w:szCs w:val="24"/>
        </w:rPr>
        <w:t xml:space="preserve"> gjelder våre to ”stormøter”; vårmøtet og høstmøtet, samt kompetansekursene.</w:t>
      </w:r>
      <w:r w:rsidR="000B6F26">
        <w:rPr>
          <w:rFonts w:ascii="Times New Roman" w:hAnsi="Times New Roman"/>
          <w:sz w:val="24"/>
          <w:szCs w:val="24"/>
        </w:rPr>
        <w:t xml:space="preserve"> Det er kun vårmøtet som er registrert der så langt i år.</w:t>
      </w:r>
      <w:r w:rsidRPr="000231E3">
        <w:rPr>
          <w:rFonts w:ascii="Times New Roman" w:hAnsi="Times New Roman"/>
          <w:sz w:val="24"/>
          <w:szCs w:val="24"/>
        </w:rPr>
        <w:t xml:space="preserve"> </w:t>
      </w:r>
      <w:r w:rsidR="000B6F26">
        <w:rPr>
          <w:rFonts w:ascii="Times New Roman" w:hAnsi="Times New Roman"/>
          <w:sz w:val="24"/>
          <w:szCs w:val="24"/>
        </w:rPr>
        <w:t xml:space="preserve">I den tabelloppstillingen som følger denne regnskapsrapporten er det oppgitt inntekter på drøyt kr 800.000. Det er ikke riktig. Det korrekte beløpet er nærmere kr 500.000. I og med at Monica, som har ansvaret for faktureringen har ferie </w:t>
      </w:r>
      <w:r w:rsidR="00040F92">
        <w:rPr>
          <w:rFonts w:ascii="Times New Roman" w:hAnsi="Times New Roman"/>
          <w:sz w:val="24"/>
          <w:szCs w:val="24"/>
        </w:rPr>
        <w:t>uken i forkant av styremøtet</w:t>
      </w:r>
      <w:r w:rsidR="000B6F26">
        <w:rPr>
          <w:rFonts w:ascii="Times New Roman" w:hAnsi="Times New Roman"/>
          <w:sz w:val="24"/>
          <w:szCs w:val="24"/>
        </w:rPr>
        <w:t xml:space="preserve"> har vi ikke vært i stand til å identifisere og korrigere denne feilen opp mot regnskapsbyrået vårt</w:t>
      </w:r>
      <w:r w:rsidR="00040DC5">
        <w:rPr>
          <w:rFonts w:ascii="Times New Roman" w:hAnsi="Times New Roman"/>
          <w:sz w:val="24"/>
          <w:szCs w:val="24"/>
        </w:rPr>
        <w:t xml:space="preserve"> før utsendelse av styrepapirene</w:t>
      </w:r>
      <w:r w:rsidR="000B6F26">
        <w:rPr>
          <w:rFonts w:ascii="Times New Roman" w:hAnsi="Times New Roman"/>
          <w:sz w:val="24"/>
          <w:szCs w:val="24"/>
        </w:rPr>
        <w:t>. Men det vil bli gjort.</w:t>
      </w:r>
      <w:r w:rsidR="00C41E8F">
        <w:rPr>
          <w:rFonts w:ascii="Times New Roman" w:hAnsi="Times New Roman"/>
          <w:sz w:val="24"/>
          <w:szCs w:val="24"/>
        </w:rPr>
        <w:t xml:space="preserve">   </w:t>
      </w:r>
      <w:r w:rsidR="00D237E1">
        <w:rPr>
          <w:rFonts w:ascii="Times New Roman" w:hAnsi="Times New Roman"/>
          <w:sz w:val="24"/>
          <w:szCs w:val="24"/>
        </w:rPr>
        <w:t xml:space="preserve"> </w:t>
      </w:r>
    </w:p>
    <w:p w:rsidR="000231E3" w:rsidRDefault="000231E3">
      <w:pPr>
        <w:rPr>
          <w:rFonts w:ascii="Times New Roman" w:hAnsi="Times New Roman"/>
          <w:sz w:val="24"/>
          <w:szCs w:val="24"/>
        </w:rPr>
      </w:pPr>
    </w:p>
    <w:p w:rsidR="000231E3" w:rsidRPr="000231E3" w:rsidRDefault="000231E3" w:rsidP="000231E3">
      <w:pPr>
        <w:rPr>
          <w:rFonts w:ascii="Times New Roman" w:hAnsi="Times New Roman"/>
          <w:b/>
          <w:sz w:val="24"/>
          <w:szCs w:val="24"/>
        </w:rPr>
      </w:pPr>
      <w:r w:rsidRPr="000231E3">
        <w:rPr>
          <w:rFonts w:ascii="Times New Roman" w:hAnsi="Times New Roman"/>
          <w:b/>
          <w:sz w:val="24"/>
          <w:szCs w:val="24"/>
        </w:rPr>
        <w:t>Utgifter</w:t>
      </w:r>
    </w:p>
    <w:p w:rsidR="000231E3" w:rsidRPr="000231E3" w:rsidRDefault="000231E3" w:rsidP="000231E3">
      <w:pPr>
        <w:rPr>
          <w:rFonts w:ascii="Times New Roman" w:hAnsi="Times New Roman"/>
          <w:sz w:val="24"/>
          <w:szCs w:val="24"/>
        </w:rPr>
      </w:pPr>
      <w:r w:rsidRPr="000231E3">
        <w:rPr>
          <w:rFonts w:ascii="Times New Roman" w:hAnsi="Times New Roman"/>
          <w:sz w:val="24"/>
          <w:szCs w:val="24"/>
        </w:rPr>
        <w:t>Utgiftene er fordelt på tre kapitler; prosjektkostnader, personalkostnader og driftskostnader.</w:t>
      </w:r>
    </w:p>
    <w:p w:rsidR="000231E3" w:rsidRPr="000231E3" w:rsidRDefault="000231E3" w:rsidP="000231E3">
      <w:pPr>
        <w:rPr>
          <w:rFonts w:ascii="Times New Roman" w:hAnsi="Times New Roman"/>
          <w:sz w:val="24"/>
          <w:szCs w:val="24"/>
        </w:rPr>
      </w:pPr>
    </w:p>
    <w:p w:rsidR="000231E3" w:rsidRPr="000231E3" w:rsidRDefault="000231E3" w:rsidP="00D237E1">
      <w:pPr>
        <w:rPr>
          <w:rFonts w:ascii="Times New Roman" w:hAnsi="Times New Roman"/>
          <w:sz w:val="24"/>
          <w:szCs w:val="24"/>
        </w:rPr>
      </w:pPr>
      <w:proofErr w:type="gramStart"/>
      <w:r w:rsidRPr="006900D3">
        <w:rPr>
          <w:rFonts w:ascii="Times New Roman" w:hAnsi="Times New Roman"/>
          <w:b/>
          <w:sz w:val="24"/>
          <w:szCs w:val="24"/>
          <w:u w:val="single"/>
        </w:rPr>
        <w:t xml:space="preserve">Prosjektkostnadene </w:t>
      </w:r>
      <w:r w:rsidRPr="000231E3">
        <w:rPr>
          <w:rFonts w:ascii="Times New Roman" w:hAnsi="Times New Roman"/>
          <w:sz w:val="24"/>
          <w:szCs w:val="24"/>
        </w:rPr>
        <w:t xml:space="preserve"> </w:t>
      </w:r>
      <w:r w:rsidR="00D237E1">
        <w:rPr>
          <w:rFonts w:ascii="Times New Roman" w:hAnsi="Times New Roman"/>
          <w:sz w:val="24"/>
          <w:szCs w:val="24"/>
        </w:rPr>
        <w:t>er</w:t>
      </w:r>
      <w:proofErr w:type="gramEnd"/>
      <w:r w:rsidR="00D237E1">
        <w:rPr>
          <w:rFonts w:ascii="Times New Roman" w:hAnsi="Times New Roman"/>
          <w:sz w:val="24"/>
          <w:szCs w:val="24"/>
        </w:rPr>
        <w:t xml:space="preserve"> det</w:t>
      </w:r>
      <w:r w:rsidR="00040F92">
        <w:rPr>
          <w:rFonts w:ascii="Times New Roman" w:hAnsi="Times New Roman"/>
          <w:sz w:val="24"/>
          <w:szCs w:val="24"/>
        </w:rPr>
        <w:t xml:space="preserve"> </w:t>
      </w:r>
      <w:r w:rsidR="00D237E1">
        <w:rPr>
          <w:rFonts w:ascii="Times New Roman" w:hAnsi="Times New Roman"/>
          <w:sz w:val="24"/>
          <w:szCs w:val="24"/>
        </w:rPr>
        <w:t xml:space="preserve">ingen </w:t>
      </w:r>
      <w:r w:rsidR="001D080E">
        <w:rPr>
          <w:rFonts w:ascii="Times New Roman" w:hAnsi="Times New Roman"/>
          <w:sz w:val="24"/>
          <w:szCs w:val="24"/>
        </w:rPr>
        <w:t xml:space="preserve">store </w:t>
      </w:r>
      <w:r w:rsidR="00D237E1">
        <w:rPr>
          <w:rFonts w:ascii="Times New Roman" w:hAnsi="Times New Roman"/>
          <w:sz w:val="24"/>
          <w:szCs w:val="24"/>
        </w:rPr>
        <w:t>overraskelser</w:t>
      </w:r>
      <w:r w:rsidR="00C41E8F">
        <w:rPr>
          <w:rFonts w:ascii="Times New Roman" w:hAnsi="Times New Roman"/>
          <w:sz w:val="24"/>
          <w:szCs w:val="24"/>
        </w:rPr>
        <w:t xml:space="preserve"> knyttet til</w:t>
      </w:r>
      <w:r w:rsidR="00D237E1">
        <w:rPr>
          <w:rFonts w:ascii="Times New Roman" w:hAnsi="Times New Roman"/>
          <w:sz w:val="24"/>
          <w:szCs w:val="24"/>
        </w:rPr>
        <w:t xml:space="preserve">. </w:t>
      </w:r>
      <w:r w:rsidR="00C41E8F">
        <w:rPr>
          <w:rFonts w:ascii="Times New Roman" w:hAnsi="Times New Roman"/>
          <w:sz w:val="24"/>
          <w:szCs w:val="24"/>
        </w:rPr>
        <w:t xml:space="preserve">Fordi budsjettet er periodisert på alle poster, mens regnskapet ikke er det i samme grad, blir det noen utslag som ser pussige ut. For eksempel at posten </w:t>
      </w:r>
      <w:r w:rsidR="00040F92">
        <w:rPr>
          <w:rFonts w:ascii="Times New Roman" w:hAnsi="Times New Roman"/>
          <w:sz w:val="24"/>
          <w:szCs w:val="24"/>
        </w:rPr>
        <w:t>"</w:t>
      </w:r>
      <w:r w:rsidR="00D237E1">
        <w:rPr>
          <w:rFonts w:ascii="Times New Roman" w:hAnsi="Times New Roman"/>
          <w:sz w:val="24"/>
          <w:szCs w:val="24"/>
        </w:rPr>
        <w:t>Regionkontingenter</w:t>
      </w:r>
      <w:r w:rsidR="00040DC5">
        <w:rPr>
          <w:rFonts w:ascii="Times New Roman" w:hAnsi="Times New Roman"/>
          <w:sz w:val="24"/>
          <w:szCs w:val="24"/>
        </w:rPr>
        <w:t>”</w:t>
      </w:r>
      <w:r w:rsidR="00D237E1">
        <w:rPr>
          <w:rFonts w:ascii="Times New Roman" w:hAnsi="Times New Roman"/>
          <w:sz w:val="24"/>
          <w:szCs w:val="24"/>
        </w:rPr>
        <w:t xml:space="preserve"> tilsynelatende</w:t>
      </w:r>
      <w:r w:rsidR="00C41E8F">
        <w:rPr>
          <w:rFonts w:ascii="Times New Roman" w:hAnsi="Times New Roman"/>
          <w:sz w:val="24"/>
          <w:szCs w:val="24"/>
        </w:rPr>
        <w:t xml:space="preserve"> er</w:t>
      </w:r>
      <w:r w:rsidR="00D237E1">
        <w:rPr>
          <w:rFonts w:ascii="Times New Roman" w:hAnsi="Times New Roman"/>
          <w:sz w:val="24"/>
          <w:szCs w:val="24"/>
        </w:rPr>
        <w:t xml:space="preserve"> overskredet med</w:t>
      </w:r>
      <w:r w:rsidR="000F4B22">
        <w:rPr>
          <w:rFonts w:ascii="Times New Roman" w:hAnsi="Times New Roman"/>
          <w:sz w:val="24"/>
          <w:szCs w:val="24"/>
        </w:rPr>
        <w:t xml:space="preserve"> 200.000 kroner, sammenlignet med periodisert budsjett. Det </w:t>
      </w:r>
      <w:r w:rsidR="00D237E1">
        <w:rPr>
          <w:rFonts w:ascii="Times New Roman" w:hAnsi="Times New Roman"/>
          <w:sz w:val="24"/>
          <w:szCs w:val="24"/>
        </w:rPr>
        <w:t xml:space="preserve">skyldes at vi har utbetalt </w:t>
      </w:r>
      <w:r w:rsidR="000F4B22">
        <w:rPr>
          <w:rFonts w:ascii="Times New Roman" w:hAnsi="Times New Roman"/>
          <w:sz w:val="24"/>
          <w:szCs w:val="24"/>
        </w:rPr>
        <w:t>hele regionkontingenten</w:t>
      </w:r>
      <w:r w:rsidR="00D237E1">
        <w:rPr>
          <w:rFonts w:ascii="Times New Roman" w:hAnsi="Times New Roman"/>
          <w:sz w:val="24"/>
          <w:szCs w:val="24"/>
        </w:rPr>
        <w:t xml:space="preserve"> i en runde</w:t>
      </w:r>
      <w:r w:rsidR="000F4B22">
        <w:rPr>
          <w:rFonts w:ascii="Times New Roman" w:hAnsi="Times New Roman"/>
          <w:sz w:val="24"/>
          <w:szCs w:val="24"/>
        </w:rPr>
        <w:t>. Fordi vi har holdt igjen litt penger</w:t>
      </w:r>
      <w:r w:rsidR="00D237E1">
        <w:rPr>
          <w:rFonts w:ascii="Times New Roman" w:hAnsi="Times New Roman"/>
          <w:sz w:val="24"/>
          <w:szCs w:val="24"/>
        </w:rPr>
        <w:t>,</w:t>
      </w:r>
      <w:r w:rsidR="000F4B22">
        <w:rPr>
          <w:rFonts w:ascii="Times New Roman" w:hAnsi="Times New Roman"/>
          <w:sz w:val="24"/>
          <w:szCs w:val="24"/>
        </w:rPr>
        <w:t xml:space="preserve"> knyttet til ubetalte kontingenter i de </w:t>
      </w:r>
      <w:proofErr w:type="gramStart"/>
      <w:r w:rsidR="000F4B22">
        <w:rPr>
          <w:rFonts w:ascii="Times New Roman" w:hAnsi="Times New Roman"/>
          <w:sz w:val="24"/>
          <w:szCs w:val="24"/>
        </w:rPr>
        <w:t>ulik</w:t>
      </w:r>
      <w:proofErr w:type="gramEnd"/>
      <w:r w:rsidR="000F4B22">
        <w:rPr>
          <w:rFonts w:ascii="Times New Roman" w:hAnsi="Times New Roman"/>
          <w:sz w:val="24"/>
          <w:szCs w:val="24"/>
        </w:rPr>
        <w:t xml:space="preserve"> regionforeningene, vil imidlertid utgiftene på denne posten nærme seg budsjettet utover høsten.</w:t>
      </w:r>
      <w:r w:rsidR="001D080E">
        <w:rPr>
          <w:rFonts w:ascii="Times New Roman" w:hAnsi="Times New Roman"/>
          <w:sz w:val="24"/>
          <w:szCs w:val="24"/>
        </w:rPr>
        <w:t xml:space="preserve"> Kostnadene til vårmøtet er overskredet med kr 100.000, sammenlignet med totalbudsjettet. Det må sees i sammenheng med at også inntektene er noe større en budsjettert, samt at vi har avtale om en refusjonsordning med MBL.</w:t>
      </w:r>
      <w:r w:rsidR="000F4B22">
        <w:rPr>
          <w:rFonts w:ascii="Times New Roman" w:hAnsi="Times New Roman"/>
          <w:sz w:val="24"/>
          <w:szCs w:val="24"/>
        </w:rPr>
        <w:t xml:space="preserve"> For øvrig ligger vi godt under budsjett på de sentrale regnskapspostene for ”Tiltak i handlingsplanen”, ”Kostnader andre møter” og ”Prosjekter og utredninger”.</w:t>
      </w:r>
      <w:r w:rsidR="00D237E1">
        <w:rPr>
          <w:rFonts w:ascii="Times New Roman" w:hAnsi="Times New Roman"/>
          <w:sz w:val="24"/>
          <w:szCs w:val="24"/>
        </w:rPr>
        <w:t xml:space="preserve"> </w:t>
      </w:r>
    </w:p>
    <w:p w:rsidR="000231E3" w:rsidRPr="000231E3" w:rsidRDefault="000231E3" w:rsidP="000231E3">
      <w:pPr>
        <w:rPr>
          <w:rFonts w:ascii="Times New Roman" w:hAnsi="Times New Roman"/>
          <w:sz w:val="24"/>
          <w:szCs w:val="24"/>
        </w:rPr>
      </w:pPr>
    </w:p>
    <w:p w:rsidR="000231E3" w:rsidRPr="000231E3" w:rsidRDefault="000231E3" w:rsidP="000231E3">
      <w:pPr>
        <w:rPr>
          <w:rFonts w:ascii="Times New Roman" w:hAnsi="Times New Roman"/>
          <w:color w:val="FF0000"/>
          <w:sz w:val="24"/>
          <w:szCs w:val="24"/>
        </w:rPr>
      </w:pPr>
      <w:r w:rsidRPr="000B6F26">
        <w:rPr>
          <w:rFonts w:ascii="Times New Roman" w:hAnsi="Times New Roman"/>
          <w:b/>
          <w:sz w:val="24"/>
          <w:szCs w:val="24"/>
          <w:u w:val="single"/>
        </w:rPr>
        <w:lastRenderedPageBreak/>
        <w:t>Personalkostnadene</w:t>
      </w:r>
      <w:r w:rsidRPr="000B6F26">
        <w:rPr>
          <w:rFonts w:ascii="Times New Roman" w:hAnsi="Times New Roman"/>
          <w:sz w:val="24"/>
          <w:szCs w:val="24"/>
        </w:rPr>
        <w:t xml:space="preserve"> er i sum </w:t>
      </w:r>
      <w:r w:rsidR="000F4B22" w:rsidRPr="000B6F26">
        <w:rPr>
          <w:rFonts w:ascii="Times New Roman" w:hAnsi="Times New Roman"/>
          <w:sz w:val="24"/>
          <w:szCs w:val="24"/>
        </w:rPr>
        <w:t>nesten 400</w:t>
      </w:r>
      <w:r w:rsidRPr="000B6F26">
        <w:rPr>
          <w:rFonts w:ascii="Times New Roman" w:hAnsi="Times New Roman"/>
          <w:sz w:val="24"/>
          <w:szCs w:val="24"/>
        </w:rPr>
        <w:t>.000 kroner lavere enn budsjettert.</w:t>
      </w:r>
      <w:r w:rsidR="000F4B22" w:rsidRPr="000B6F26">
        <w:rPr>
          <w:rFonts w:ascii="Times New Roman" w:hAnsi="Times New Roman"/>
          <w:sz w:val="24"/>
          <w:szCs w:val="24"/>
        </w:rPr>
        <w:t xml:space="preserve"> Det skyldes primært at lønnskostnadene er en halv million lavere enn budsjettert, noe som igjen blant annet skyldes at vi ikke på langt nær brukte de budsjetterte midler i forbindelse med</w:t>
      </w:r>
      <w:r w:rsidR="000B6F26" w:rsidRPr="000B6F26">
        <w:rPr>
          <w:rFonts w:ascii="Times New Roman" w:hAnsi="Times New Roman"/>
          <w:sz w:val="24"/>
          <w:szCs w:val="24"/>
        </w:rPr>
        <w:t xml:space="preserve"> generalsekretærens permisjon, samt at forholdet mellom foreldrepenger og refusjon fra NAV slo noe heldigere ut enn sekretariatets beregninger</w:t>
      </w:r>
      <w:r w:rsidR="006900D3" w:rsidRPr="000B6F26">
        <w:rPr>
          <w:rFonts w:ascii="Times New Roman" w:hAnsi="Times New Roman"/>
          <w:sz w:val="24"/>
          <w:szCs w:val="24"/>
        </w:rPr>
        <w:t>.</w:t>
      </w:r>
    </w:p>
    <w:p w:rsidR="000231E3" w:rsidRPr="000231E3" w:rsidRDefault="000231E3" w:rsidP="000231E3">
      <w:pPr>
        <w:rPr>
          <w:rFonts w:ascii="Times New Roman" w:hAnsi="Times New Roman"/>
          <w:sz w:val="24"/>
          <w:szCs w:val="24"/>
        </w:rPr>
      </w:pPr>
    </w:p>
    <w:p w:rsidR="000231E3" w:rsidRPr="000231E3" w:rsidRDefault="000231E3" w:rsidP="000231E3">
      <w:pPr>
        <w:rPr>
          <w:rFonts w:ascii="Times New Roman" w:hAnsi="Times New Roman"/>
          <w:sz w:val="24"/>
          <w:szCs w:val="24"/>
        </w:rPr>
      </w:pPr>
      <w:r w:rsidRPr="006900D3">
        <w:rPr>
          <w:rFonts w:ascii="Times New Roman" w:hAnsi="Times New Roman"/>
          <w:b/>
          <w:sz w:val="24"/>
          <w:szCs w:val="24"/>
          <w:u w:val="single"/>
        </w:rPr>
        <w:t>Driftskostnadene</w:t>
      </w:r>
      <w:r w:rsidRPr="000231E3">
        <w:rPr>
          <w:rFonts w:ascii="Times New Roman" w:hAnsi="Times New Roman"/>
          <w:sz w:val="24"/>
          <w:szCs w:val="24"/>
        </w:rPr>
        <w:t xml:space="preserve"> er i store trekk i samsvar med budsjett, eller de viser et mindre forbruk enn budsjettert.  Det er kun </w:t>
      </w:r>
      <w:r w:rsidR="00770742">
        <w:rPr>
          <w:rFonts w:ascii="Times New Roman" w:hAnsi="Times New Roman"/>
          <w:sz w:val="24"/>
          <w:szCs w:val="24"/>
        </w:rPr>
        <w:t>noen få poster</w:t>
      </w:r>
      <w:r w:rsidRPr="000231E3">
        <w:rPr>
          <w:rFonts w:ascii="Times New Roman" w:hAnsi="Times New Roman"/>
          <w:sz w:val="24"/>
          <w:szCs w:val="24"/>
        </w:rPr>
        <w:t xml:space="preserve"> som </w:t>
      </w:r>
      <w:r w:rsidR="00770742">
        <w:rPr>
          <w:rFonts w:ascii="Times New Roman" w:hAnsi="Times New Roman"/>
          <w:sz w:val="24"/>
          <w:szCs w:val="24"/>
        </w:rPr>
        <w:t>viser overforbruk, og da med ganske beskjed</w:t>
      </w:r>
      <w:r w:rsidR="00040F92">
        <w:rPr>
          <w:rFonts w:ascii="Times New Roman" w:hAnsi="Times New Roman"/>
          <w:sz w:val="24"/>
          <w:szCs w:val="24"/>
        </w:rPr>
        <w:t>n</w:t>
      </w:r>
      <w:r w:rsidR="00770742">
        <w:rPr>
          <w:rFonts w:ascii="Times New Roman" w:hAnsi="Times New Roman"/>
          <w:sz w:val="24"/>
          <w:szCs w:val="24"/>
        </w:rPr>
        <w:t>e beløp.</w:t>
      </w:r>
    </w:p>
    <w:p w:rsidR="000231E3" w:rsidRPr="000231E3" w:rsidRDefault="000231E3" w:rsidP="000231E3">
      <w:pPr>
        <w:rPr>
          <w:rFonts w:ascii="Times New Roman" w:hAnsi="Times New Roman"/>
          <w:sz w:val="24"/>
          <w:szCs w:val="24"/>
        </w:rPr>
      </w:pPr>
    </w:p>
    <w:p w:rsidR="006900D3" w:rsidRDefault="006900D3" w:rsidP="000231E3">
      <w:pPr>
        <w:rPr>
          <w:rFonts w:ascii="Times New Roman" w:hAnsi="Times New Roman"/>
          <w:sz w:val="24"/>
          <w:szCs w:val="24"/>
        </w:rPr>
      </w:pPr>
      <w:r>
        <w:rPr>
          <w:rFonts w:ascii="Times New Roman" w:hAnsi="Times New Roman"/>
          <w:sz w:val="24"/>
          <w:szCs w:val="24"/>
          <w:u w:val="single"/>
        </w:rPr>
        <w:t>Avskrivninger</w:t>
      </w:r>
      <w:r>
        <w:rPr>
          <w:rFonts w:ascii="Times New Roman" w:hAnsi="Times New Roman"/>
          <w:sz w:val="24"/>
          <w:szCs w:val="24"/>
        </w:rPr>
        <w:t xml:space="preserve"> </w:t>
      </w:r>
      <w:r w:rsidR="00A66998">
        <w:rPr>
          <w:rFonts w:ascii="Times New Roman" w:hAnsi="Times New Roman"/>
          <w:sz w:val="24"/>
          <w:szCs w:val="24"/>
        </w:rPr>
        <w:t xml:space="preserve">vil ende høyere enn budsjettert. </w:t>
      </w:r>
      <w:r>
        <w:rPr>
          <w:rFonts w:ascii="Times New Roman" w:hAnsi="Times New Roman"/>
          <w:sz w:val="24"/>
          <w:szCs w:val="24"/>
        </w:rPr>
        <w:t xml:space="preserve">Det skyldes i hovedsak at vi har ført </w:t>
      </w:r>
      <w:r w:rsidR="002B3A01">
        <w:rPr>
          <w:rFonts w:ascii="Times New Roman" w:hAnsi="Times New Roman"/>
          <w:sz w:val="24"/>
          <w:szCs w:val="24"/>
        </w:rPr>
        <w:t>deler av implementeringen av ny redaksjonell årsrapport som investering</w:t>
      </w:r>
      <w:r>
        <w:rPr>
          <w:rFonts w:ascii="Times New Roman" w:hAnsi="Times New Roman"/>
          <w:sz w:val="24"/>
          <w:szCs w:val="24"/>
        </w:rPr>
        <w:t xml:space="preserve">. </w:t>
      </w:r>
      <w:r w:rsidR="00770742">
        <w:rPr>
          <w:rFonts w:ascii="Times New Roman" w:hAnsi="Times New Roman"/>
          <w:sz w:val="24"/>
          <w:szCs w:val="24"/>
        </w:rPr>
        <w:t>Det er altså en ”styrt” overskridelse, som trolig vil ende rundt 50.000 høyere enn budsjettet.</w:t>
      </w:r>
    </w:p>
    <w:p w:rsidR="00770742" w:rsidRDefault="00770742" w:rsidP="000231E3">
      <w:pPr>
        <w:rPr>
          <w:rFonts w:ascii="Times New Roman" w:hAnsi="Times New Roman"/>
          <w:sz w:val="24"/>
          <w:szCs w:val="24"/>
        </w:rPr>
      </w:pPr>
    </w:p>
    <w:p w:rsidR="00770742" w:rsidRPr="00770742" w:rsidRDefault="00770742" w:rsidP="000231E3">
      <w:pPr>
        <w:rPr>
          <w:rFonts w:ascii="Times New Roman" w:hAnsi="Times New Roman"/>
          <w:sz w:val="24"/>
          <w:szCs w:val="24"/>
        </w:rPr>
      </w:pPr>
      <w:r>
        <w:rPr>
          <w:rFonts w:ascii="Times New Roman" w:hAnsi="Times New Roman"/>
          <w:sz w:val="24"/>
          <w:szCs w:val="24"/>
          <w:u w:val="single"/>
        </w:rPr>
        <w:t>Kostnader/lokaler</w:t>
      </w:r>
      <w:r>
        <w:rPr>
          <w:rFonts w:ascii="Times New Roman" w:hAnsi="Times New Roman"/>
          <w:sz w:val="24"/>
          <w:szCs w:val="24"/>
        </w:rPr>
        <w:t xml:space="preserve"> er overskredet med 15.000 kroner. Det skyldes primært at </w:t>
      </w:r>
      <w:r w:rsidR="00507ADE">
        <w:rPr>
          <w:rFonts w:ascii="Times New Roman" w:hAnsi="Times New Roman"/>
          <w:sz w:val="24"/>
          <w:szCs w:val="24"/>
        </w:rPr>
        <w:t xml:space="preserve">vi har foretatt en nødvendig oppgradering av møterommet, med tilkoblingsopplegg for </w:t>
      </w:r>
      <w:proofErr w:type="spellStart"/>
      <w:r w:rsidR="00507ADE">
        <w:rPr>
          <w:rFonts w:ascii="Times New Roman" w:hAnsi="Times New Roman"/>
          <w:sz w:val="24"/>
          <w:szCs w:val="24"/>
        </w:rPr>
        <w:t>prosjektor</w:t>
      </w:r>
      <w:proofErr w:type="spellEnd"/>
      <w:r w:rsidR="00507ADE">
        <w:rPr>
          <w:rFonts w:ascii="Times New Roman" w:hAnsi="Times New Roman"/>
          <w:sz w:val="24"/>
          <w:szCs w:val="24"/>
        </w:rPr>
        <w:t xml:space="preserve"> og strøm i møtebordet.</w:t>
      </w:r>
    </w:p>
    <w:p w:rsidR="006900D3" w:rsidRDefault="006900D3" w:rsidP="000231E3">
      <w:pPr>
        <w:rPr>
          <w:rFonts w:ascii="Times New Roman" w:hAnsi="Times New Roman"/>
          <w:sz w:val="24"/>
          <w:szCs w:val="24"/>
          <w:u w:val="single"/>
        </w:rPr>
      </w:pPr>
    </w:p>
    <w:p w:rsidR="000231E3" w:rsidRDefault="00A46DD5" w:rsidP="000231E3">
      <w:pPr>
        <w:rPr>
          <w:rFonts w:ascii="Times New Roman" w:hAnsi="Times New Roman"/>
          <w:sz w:val="24"/>
          <w:szCs w:val="24"/>
        </w:rPr>
      </w:pPr>
      <w:r>
        <w:rPr>
          <w:rFonts w:ascii="Times New Roman" w:hAnsi="Times New Roman"/>
          <w:sz w:val="24"/>
          <w:szCs w:val="24"/>
          <w:u w:val="single"/>
        </w:rPr>
        <w:t xml:space="preserve">Inventar/vedlikehold </w:t>
      </w:r>
      <w:r>
        <w:rPr>
          <w:rFonts w:ascii="Times New Roman" w:hAnsi="Times New Roman"/>
          <w:sz w:val="24"/>
          <w:szCs w:val="24"/>
        </w:rPr>
        <w:t>er overskredet med kr.</w:t>
      </w:r>
      <w:r w:rsidR="00507ADE">
        <w:rPr>
          <w:rFonts w:ascii="Times New Roman" w:hAnsi="Times New Roman"/>
          <w:sz w:val="24"/>
          <w:szCs w:val="24"/>
        </w:rPr>
        <w:t>6.000</w:t>
      </w:r>
      <w:r w:rsidR="005E438C">
        <w:rPr>
          <w:rFonts w:ascii="Times New Roman" w:hAnsi="Times New Roman"/>
          <w:sz w:val="24"/>
          <w:szCs w:val="24"/>
        </w:rPr>
        <w:t>.</w:t>
      </w:r>
      <w:r>
        <w:rPr>
          <w:rFonts w:ascii="Times New Roman" w:hAnsi="Times New Roman"/>
          <w:sz w:val="24"/>
          <w:szCs w:val="24"/>
        </w:rPr>
        <w:t xml:space="preserve"> </w:t>
      </w:r>
      <w:r w:rsidR="002B3A01">
        <w:rPr>
          <w:rFonts w:ascii="Times New Roman" w:hAnsi="Times New Roman"/>
          <w:sz w:val="24"/>
          <w:szCs w:val="24"/>
        </w:rPr>
        <w:t>Det skyldes i hovedsak fornyelse av mobiltelefoner samt begynnende oppgradering av arbeidsstasjoner</w:t>
      </w:r>
      <w:r>
        <w:rPr>
          <w:rFonts w:ascii="Times New Roman" w:hAnsi="Times New Roman"/>
          <w:sz w:val="24"/>
          <w:szCs w:val="24"/>
        </w:rPr>
        <w:t>.</w:t>
      </w:r>
      <w:r w:rsidR="00507ADE">
        <w:rPr>
          <w:rFonts w:ascii="Times New Roman" w:hAnsi="Times New Roman"/>
          <w:sz w:val="24"/>
          <w:szCs w:val="24"/>
        </w:rPr>
        <w:t xml:space="preserve"> Det vil påløpe yterligere utgifter her, fordi vi må bytte ut en mobil arbeidsstasjon.</w:t>
      </w:r>
    </w:p>
    <w:p w:rsidR="00A46DD5" w:rsidRDefault="00A46DD5" w:rsidP="000231E3">
      <w:pPr>
        <w:rPr>
          <w:rFonts w:ascii="Times New Roman" w:hAnsi="Times New Roman"/>
          <w:sz w:val="24"/>
          <w:szCs w:val="24"/>
        </w:rPr>
      </w:pPr>
    </w:p>
    <w:p w:rsidR="00A66998" w:rsidRDefault="00A46DD5" w:rsidP="000231E3">
      <w:pPr>
        <w:rPr>
          <w:rFonts w:ascii="Times New Roman" w:hAnsi="Times New Roman"/>
          <w:sz w:val="24"/>
          <w:szCs w:val="24"/>
        </w:rPr>
      </w:pPr>
      <w:r>
        <w:rPr>
          <w:rFonts w:ascii="Times New Roman" w:hAnsi="Times New Roman"/>
          <w:sz w:val="24"/>
          <w:szCs w:val="24"/>
          <w:u w:val="single"/>
        </w:rPr>
        <w:t>Kontorkostnadene</w:t>
      </w:r>
      <w:r>
        <w:rPr>
          <w:rFonts w:ascii="Times New Roman" w:hAnsi="Times New Roman"/>
          <w:sz w:val="24"/>
          <w:szCs w:val="24"/>
        </w:rPr>
        <w:t xml:space="preserve"> er </w:t>
      </w:r>
      <w:r w:rsidR="00A66998">
        <w:rPr>
          <w:rFonts w:ascii="Times New Roman" w:hAnsi="Times New Roman"/>
          <w:sz w:val="24"/>
          <w:szCs w:val="24"/>
        </w:rPr>
        <w:t>høyere enn budsjettert</w:t>
      </w:r>
      <w:r w:rsidR="00507ADE">
        <w:rPr>
          <w:rFonts w:ascii="Times New Roman" w:hAnsi="Times New Roman"/>
          <w:sz w:val="24"/>
          <w:szCs w:val="24"/>
        </w:rPr>
        <w:t>, men overskridelsen er mindre enn ved utløpet av april.</w:t>
      </w:r>
      <w:r w:rsidR="00A66998">
        <w:rPr>
          <w:rFonts w:ascii="Times New Roman" w:hAnsi="Times New Roman"/>
          <w:sz w:val="24"/>
          <w:szCs w:val="24"/>
        </w:rPr>
        <w:t xml:space="preserve"> </w:t>
      </w:r>
      <w:r w:rsidR="00507ADE">
        <w:rPr>
          <w:rFonts w:ascii="Times New Roman" w:hAnsi="Times New Roman"/>
          <w:sz w:val="24"/>
          <w:szCs w:val="24"/>
        </w:rPr>
        <w:t>Sekretariatet er for øvrig i gang med å se på alternative løsninger for enkelte kontorkostnader, men vi er usikre på hvor mye det er å spare.</w:t>
      </w:r>
    </w:p>
    <w:p w:rsidR="00507ADE" w:rsidRDefault="00507ADE" w:rsidP="000231E3">
      <w:pPr>
        <w:rPr>
          <w:rFonts w:ascii="Times New Roman" w:hAnsi="Times New Roman"/>
          <w:sz w:val="24"/>
          <w:szCs w:val="24"/>
        </w:rPr>
      </w:pPr>
    </w:p>
    <w:p w:rsidR="00507ADE" w:rsidRDefault="00507ADE" w:rsidP="000231E3">
      <w:pPr>
        <w:rPr>
          <w:rFonts w:ascii="Times New Roman" w:hAnsi="Times New Roman"/>
          <w:sz w:val="24"/>
          <w:szCs w:val="24"/>
        </w:rPr>
      </w:pPr>
      <w:r>
        <w:rPr>
          <w:rFonts w:ascii="Times New Roman" w:hAnsi="Times New Roman"/>
          <w:sz w:val="24"/>
          <w:szCs w:val="24"/>
        </w:rPr>
        <w:t xml:space="preserve">For øvrig ligger vi godt under budsjettet når det gjelder forbruk på postene </w:t>
      </w:r>
      <w:r w:rsidRPr="00507ADE">
        <w:rPr>
          <w:rFonts w:ascii="Times New Roman" w:hAnsi="Times New Roman"/>
          <w:sz w:val="24"/>
          <w:szCs w:val="24"/>
          <w:u w:val="single"/>
        </w:rPr>
        <w:t>Fremmede tjenester</w:t>
      </w:r>
      <w:r>
        <w:rPr>
          <w:rFonts w:ascii="Times New Roman" w:hAnsi="Times New Roman"/>
          <w:sz w:val="24"/>
          <w:szCs w:val="24"/>
        </w:rPr>
        <w:t xml:space="preserve"> og </w:t>
      </w:r>
      <w:r w:rsidRPr="00507ADE">
        <w:rPr>
          <w:rFonts w:ascii="Times New Roman" w:hAnsi="Times New Roman"/>
          <w:sz w:val="24"/>
          <w:szCs w:val="24"/>
          <w:u w:val="single"/>
        </w:rPr>
        <w:t>Reisekostnader</w:t>
      </w:r>
      <w:r>
        <w:rPr>
          <w:rFonts w:ascii="Times New Roman" w:hAnsi="Times New Roman"/>
          <w:sz w:val="24"/>
          <w:szCs w:val="24"/>
        </w:rPr>
        <w:t xml:space="preserve">. Førstnevnte gjelder regnskap og revisjon, og omfatter også Oslo Redaktørforening og Vederlagsfondet. Vi jobber nå med å få på plass et helt nytt, digitalt og </w:t>
      </w:r>
      <w:proofErr w:type="spellStart"/>
      <w:r>
        <w:rPr>
          <w:rFonts w:ascii="Times New Roman" w:hAnsi="Times New Roman"/>
          <w:sz w:val="24"/>
          <w:szCs w:val="24"/>
        </w:rPr>
        <w:t>skybasert</w:t>
      </w:r>
      <w:proofErr w:type="spellEnd"/>
      <w:r>
        <w:rPr>
          <w:rFonts w:ascii="Times New Roman" w:hAnsi="Times New Roman"/>
          <w:sz w:val="24"/>
          <w:szCs w:val="24"/>
        </w:rPr>
        <w:t xml:space="preserve"> regnskapssystem som vil medføre at vi gjør mye mer av jobben selv, får bedre kontroll og formodentlig også mindre behov for tjenester fra ekstern</w:t>
      </w:r>
      <w:r w:rsidR="005E438C">
        <w:rPr>
          <w:rFonts w:ascii="Times New Roman" w:hAnsi="Times New Roman"/>
          <w:sz w:val="24"/>
          <w:szCs w:val="24"/>
        </w:rPr>
        <w:t>t</w:t>
      </w:r>
      <w:r>
        <w:rPr>
          <w:rFonts w:ascii="Times New Roman" w:hAnsi="Times New Roman"/>
          <w:sz w:val="24"/>
          <w:szCs w:val="24"/>
        </w:rPr>
        <w:t xml:space="preserve"> regnskapsbyrå.</w:t>
      </w:r>
    </w:p>
    <w:p w:rsidR="00507ADE" w:rsidRDefault="00507ADE" w:rsidP="000231E3">
      <w:pPr>
        <w:rPr>
          <w:rFonts w:ascii="Times New Roman" w:hAnsi="Times New Roman"/>
          <w:sz w:val="24"/>
          <w:szCs w:val="24"/>
          <w:u w:val="single"/>
        </w:rPr>
      </w:pPr>
    </w:p>
    <w:p w:rsidR="000231E3" w:rsidRDefault="000231E3" w:rsidP="000231E3">
      <w:pPr>
        <w:jc w:val="center"/>
        <w:rPr>
          <w:rFonts w:ascii="Times New Roman" w:hAnsi="Times New Roman"/>
          <w:sz w:val="24"/>
          <w:szCs w:val="24"/>
        </w:rPr>
      </w:pPr>
      <w:r w:rsidRPr="000231E3">
        <w:rPr>
          <w:rFonts w:ascii="Times New Roman" w:hAnsi="Times New Roman"/>
          <w:sz w:val="24"/>
          <w:szCs w:val="24"/>
        </w:rPr>
        <w:t>***</w:t>
      </w:r>
    </w:p>
    <w:p w:rsidR="000231E3" w:rsidRPr="000231E3" w:rsidRDefault="000231E3" w:rsidP="000231E3">
      <w:pPr>
        <w:jc w:val="center"/>
        <w:rPr>
          <w:rFonts w:ascii="Times New Roman" w:hAnsi="Times New Roman"/>
          <w:sz w:val="24"/>
          <w:szCs w:val="24"/>
        </w:rPr>
      </w:pPr>
    </w:p>
    <w:p w:rsidR="000231E3" w:rsidRDefault="002B3A01" w:rsidP="000231E3">
      <w:pPr>
        <w:rPr>
          <w:rFonts w:ascii="Times New Roman" w:hAnsi="Times New Roman"/>
          <w:sz w:val="24"/>
          <w:szCs w:val="24"/>
        </w:rPr>
      </w:pPr>
      <w:r w:rsidRPr="000B6F26">
        <w:rPr>
          <w:rFonts w:ascii="Times New Roman" w:hAnsi="Times New Roman"/>
          <w:sz w:val="24"/>
          <w:szCs w:val="24"/>
        </w:rPr>
        <w:t xml:space="preserve">Regnskapet viser </w:t>
      </w:r>
      <w:r w:rsidR="000B6F26" w:rsidRPr="000B6F26">
        <w:rPr>
          <w:rFonts w:ascii="Times New Roman" w:hAnsi="Times New Roman"/>
          <w:sz w:val="24"/>
          <w:szCs w:val="24"/>
        </w:rPr>
        <w:t xml:space="preserve">i følge tabelloppstillingen </w:t>
      </w:r>
      <w:r w:rsidRPr="000B6F26">
        <w:rPr>
          <w:rFonts w:ascii="Times New Roman" w:hAnsi="Times New Roman"/>
          <w:sz w:val="24"/>
          <w:szCs w:val="24"/>
        </w:rPr>
        <w:t xml:space="preserve">et </w:t>
      </w:r>
      <w:r w:rsidR="000B6F26" w:rsidRPr="000B6F26">
        <w:rPr>
          <w:rFonts w:ascii="Times New Roman" w:hAnsi="Times New Roman"/>
          <w:sz w:val="24"/>
          <w:szCs w:val="24"/>
        </w:rPr>
        <w:t xml:space="preserve">positivt </w:t>
      </w:r>
      <w:r w:rsidRPr="000B6F26">
        <w:rPr>
          <w:rFonts w:ascii="Times New Roman" w:hAnsi="Times New Roman"/>
          <w:sz w:val="24"/>
          <w:szCs w:val="24"/>
        </w:rPr>
        <w:t>resu</w:t>
      </w:r>
      <w:r w:rsidR="00507ADE" w:rsidRPr="000B6F26">
        <w:rPr>
          <w:rFonts w:ascii="Times New Roman" w:hAnsi="Times New Roman"/>
          <w:sz w:val="24"/>
          <w:szCs w:val="24"/>
        </w:rPr>
        <w:t xml:space="preserve">ltat per utgangen av august på </w:t>
      </w:r>
      <w:r w:rsidR="000B6F26" w:rsidRPr="000B6F26">
        <w:rPr>
          <w:rFonts w:ascii="Times New Roman" w:hAnsi="Times New Roman"/>
          <w:sz w:val="24"/>
          <w:szCs w:val="24"/>
        </w:rPr>
        <w:t xml:space="preserve">kr 645.625 mot et </w:t>
      </w:r>
      <w:r w:rsidR="005E438C">
        <w:rPr>
          <w:rFonts w:ascii="Times New Roman" w:hAnsi="Times New Roman"/>
          <w:sz w:val="24"/>
          <w:szCs w:val="24"/>
        </w:rPr>
        <w:t>"</w:t>
      </w:r>
      <w:r w:rsidR="000B6F26" w:rsidRPr="000B6F26">
        <w:rPr>
          <w:rFonts w:ascii="Times New Roman" w:hAnsi="Times New Roman"/>
          <w:sz w:val="24"/>
          <w:szCs w:val="24"/>
        </w:rPr>
        <w:t>bu</w:t>
      </w:r>
      <w:r w:rsidRPr="000B6F26">
        <w:rPr>
          <w:rFonts w:ascii="Times New Roman" w:hAnsi="Times New Roman"/>
          <w:sz w:val="24"/>
          <w:szCs w:val="24"/>
        </w:rPr>
        <w:t xml:space="preserve">dsjettert” underskudd på kr </w:t>
      </w:r>
      <w:r w:rsidR="000B6F26" w:rsidRPr="000B6F26">
        <w:rPr>
          <w:rFonts w:ascii="Times New Roman" w:hAnsi="Times New Roman"/>
          <w:sz w:val="24"/>
          <w:szCs w:val="24"/>
        </w:rPr>
        <w:t>193.333</w:t>
      </w:r>
      <w:r w:rsidRPr="000B6F26">
        <w:rPr>
          <w:rFonts w:ascii="Times New Roman" w:hAnsi="Times New Roman"/>
          <w:sz w:val="24"/>
          <w:szCs w:val="24"/>
        </w:rPr>
        <w:t xml:space="preserve">. </w:t>
      </w:r>
      <w:r w:rsidR="000B6F26">
        <w:rPr>
          <w:rFonts w:ascii="Times New Roman" w:hAnsi="Times New Roman"/>
          <w:sz w:val="24"/>
          <w:szCs w:val="24"/>
        </w:rPr>
        <w:t>Disse to tallene vil nærme seg hverandre i løpet av høsten. Sekretariatet har imidlertid godt håp om at vi vil holde budsjettet og kanskje også komme ut med et bedre resultat enn budsjettert. Høstmøtet vil selvsagt være en vesentlig faktor her.</w:t>
      </w:r>
    </w:p>
    <w:p w:rsidR="000B6F26" w:rsidRPr="000231E3" w:rsidRDefault="000B6F26" w:rsidP="000231E3">
      <w:pPr>
        <w:rPr>
          <w:rFonts w:ascii="Times New Roman" w:hAnsi="Times New Roman"/>
          <w:sz w:val="24"/>
          <w:szCs w:val="24"/>
        </w:rPr>
      </w:pPr>
    </w:p>
    <w:p w:rsidR="000231E3" w:rsidRPr="000231E3" w:rsidRDefault="000231E3">
      <w:pPr>
        <w:rPr>
          <w:rFonts w:ascii="Times New Roman" w:hAnsi="Times New Roman"/>
          <w:b/>
          <w:sz w:val="24"/>
          <w:szCs w:val="24"/>
        </w:rPr>
      </w:pPr>
    </w:p>
    <w:p w:rsidR="00407FD3" w:rsidRPr="000231E3" w:rsidRDefault="00407FD3">
      <w:pPr>
        <w:rPr>
          <w:rFonts w:ascii="Times New Roman" w:hAnsi="Times New Roman"/>
          <w:sz w:val="24"/>
          <w:szCs w:val="24"/>
        </w:rPr>
      </w:pPr>
    </w:p>
    <w:p w:rsidR="006A3D33" w:rsidRPr="000231E3" w:rsidRDefault="00305710">
      <w:pPr>
        <w:rPr>
          <w:rFonts w:ascii="Times New Roman" w:hAnsi="Times New Roman"/>
          <w:sz w:val="24"/>
          <w:szCs w:val="24"/>
          <w:u w:val="single"/>
        </w:rPr>
      </w:pPr>
      <w:r w:rsidRPr="000231E3">
        <w:rPr>
          <w:rFonts w:ascii="Times New Roman" w:hAnsi="Times New Roman"/>
          <w:sz w:val="24"/>
          <w:szCs w:val="24"/>
          <w:u w:val="single"/>
        </w:rPr>
        <w:t>Forslag til vedtak:</w:t>
      </w:r>
    </w:p>
    <w:p w:rsidR="008E78DE" w:rsidRPr="000231E3" w:rsidRDefault="000231E3">
      <w:pPr>
        <w:rPr>
          <w:rFonts w:ascii="Times New Roman" w:hAnsi="Times New Roman"/>
          <w:sz w:val="24"/>
          <w:szCs w:val="24"/>
        </w:rPr>
      </w:pPr>
      <w:r w:rsidRPr="000231E3">
        <w:rPr>
          <w:rFonts w:ascii="Times New Roman" w:hAnsi="Times New Roman"/>
          <w:sz w:val="24"/>
          <w:szCs w:val="24"/>
        </w:rPr>
        <w:t>Regnskapsrapporten per 3</w:t>
      </w:r>
      <w:r w:rsidR="00507ADE">
        <w:rPr>
          <w:rFonts w:ascii="Times New Roman" w:hAnsi="Times New Roman"/>
          <w:sz w:val="24"/>
          <w:szCs w:val="24"/>
        </w:rPr>
        <w:t>1</w:t>
      </w:r>
      <w:r w:rsidRPr="000231E3">
        <w:rPr>
          <w:rFonts w:ascii="Times New Roman" w:hAnsi="Times New Roman"/>
          <w:sz w:val="24"/>
          <w:szCs w:val="24"/>
        </w:rPr>
        <w:t xml:space="preserve">. </w:t>
      </w:r>
      <w:r w:rsidR="00507ADE">
        <w:rPr>
          <w:rFonts w:ascii="Times New Roman" w:hAnsi="Times New Roman"/>
          <w:sz w:val="24"/>
          <w:szCs w:val="24"/>
        </w:rPr>
        <w:t>august</w:t>
      </w:r>
      <w:r w:rsidRPr="000231E3">
        <w:rPr>
          <w:rFonts w:ascii="Times New Roman" w:hAnsi="Times New Roman"/>
          <w:sz w:val="24"/>
          <w:szCs w:val="24"/>
        </w:rPr>
        <w:t xml:space="preserve"> </w:t>
      </w:r>
      <w:r w:rsidR="008E78DE" w:rsidRPr="000231E3">
        <w:rPr>
          <w:rFonts w:ascii="Times New Roman" w:hAnsi="Times New Roman"/>
          <w:sz w:val="24"/>
          <w:szCs w:val="24"/>
        </w:rPr>
        <w:t>tas til orientering.</w:t>
      </w:r>
    </w:p>
    <w:p w:rsidR="001C3607" w:rsidRPr="000231E3" w:rsidRDefault="001C3607">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Pr="000231E3" w:rsidRDefault="000231E3">
      <w:pPr>
        <w:rPr>
          <w:rFonts w:ascii="Times New Roman" w:hAnsi="Times New Roman"/>
          <w:sz w:val="24"/>
          <w:szCs w:val="24"/>
        </w:rPr>
      </w:pPr>
    </w:p>
    <w:p w:rsidR="003C5500" w:rsidRPr="000231E3" w:rsidRDefault="001C3607">
      <w:pPr>
        <w:rPr>
          <w:rFonts w:ascii="Times New Roman" w:hAnsi="Times New Roman"/>
          <w:sz w:val="24"/>
          <w:szCs w:val="24"/>
        </w:rPr>
      </w:pPr>
      <w:r w:rsidRPr="000231E3">
        <w:rPr>
          <w:rFonts w:ascii="Times New Roman" w:hAnsi="Times New Roman"/>
          <w:sz w:val="24"/>
          <w:szCs w:val="24"/>
          <w:u w:val="single"/>
        </w:rPr>
        <w:t>Vedlegg</w:t>
      </w:r>
      <w:r w:rsidRPr="000231E3">
        <w:rPr>
          <w:rFonts w:ascii="Times New Roman" w:hAnsi="Times New Roman"/>
          <w:sz w:val="24"/>
          <w:szCs w:val="24"/>
        </w:rPr>
        <w:t xml:space="preserve">: Regnskapsoppstilling og balanse </w:t>
      </w:r>
    </w:p>
    <w:p w:rsidR="003C5500" w:rsidRPr="000231E3" w:rsidRDefault="003C5500">
      <w:pPr>
        <w:rPr>
          <w:rFonts w:ascii="Times New Roman" w:hAnsi="Times New Roman"/>
          <w:sz w:val="24"/>
          <w:szCs w:val="24"/>
        </w:rPr>
      </w:pPr>
    </w:p>
    <w:p w:rsidR="003C5500" w:rsidRPr="000231E3" w:rsidRDefault="003C5500">
      <w:pPr>
        <w:rPr>
          <w:rFonts w:ascii="Times New Roman" w:hAnsi="Times New Roman"/>
          <w:sz w:val="24"/>
          <w:szCs w:val="24"/>
        </w:rPr>
      </w:pPr>
    </w:p>
    <w:p w:rsidR="000231E3" w:rsidRPr="000231E3" w:rsidRDefault="000231E3">
      <w:pPr>
        <w:rPr>
          <w:rFonts w:ascii="Times New Roman" w:hAnsi="Times New Roman"/>
          <w:sz w:val="24"/>
          <w:szCs w:val="24"/>
        </w:rPr>
      </w:pPr>
    </w:p>
    <w:p w:rsidR="000231E3" w:rsidRDefault="000231E3">
      <w:pPr>
        <w:rPr>
          <w:rFonts w:ascii="Times New Roman" w:hAnsi="Times New Roman"/>
          <w:sz w:val="24"/>
          <w:szCs w:val="24"/>
        </w:rPr>
      </w:pPr>
    </w:p>
    <w:p w:rsidR="00317ED4" w:rsidRDefault="00317ED4">
      <w:pPr>
        <w:rPr>
          <w:rFonts w:ascii="Times New Roman" w:hAnsi="Times New Roman"/>
          <w:sz w:val="24"/>
          <w:szCs w:val="24"/>
        </w:rPr>
      </w:pPr>
    </w:p>
    <w:p w:rsidR="00BE52D3" w:rsidRDefault="00BE52D3">
      <w:pPr>
        <w:rPr>
          <w:rFonts w:ascii="Times New Roman" w:hAnsi="Times New Roman"/>
          <w:sz w:val="24"/>
          <w:szCs w:val="24"/>
        </w:rPr>
      </w:pPr>
    </w:p>
    <w:p w:rsidR="00BE52D3" w:rsidRDefault="00BE52D3">
      <w:pPr>
        <w:rPr>
          <w:rFonts w:ascii="Times New Roman" w:hAnsi="Times New Roman"/>
          <w:sz w:val="24"/>
          <w:szCs w:val="24"/>
        </w:rPr>
      </w:pPr>
    </w:p>
    <w:tbl>
      <w:tblPr>
        <w:tblW w:w="9654" w:type="dxa"/>
        <w:tblInd w:w="55" w:type="dxa"/>
        <w:tblCellMar>
          <w:left w:w="70" w:type="dxa"/>
          <w:right w:w="70" w:type="dxa"/>
        </w:tblCellMar>
        <w:tblLook w:val="04A0"/>
      </w:tblPr>
      <w:tblGrid>
        <w:gridCol w:w="2450"/>
        <w:gridCol w:w="1559"/>
        <w:gridCol w:w="1417"/>
        <w:gridCol w:w="1418"/>
        <w:gridCol w:w="1322"/>
        <w:gridCol w:w="1488"/>
      </w:tblGrid>
      <w:tr w:rsidR="00BE52D3" w:rsidRPr="00BE52D3" w:rsidTr="00EE5B25">
        <w:trPr>
          <w:trHeight w:val="284"/>
        </w:trPr>
        <w:tc>
          <w:tcPr>
            <w:tcW w:w="2450" w:type="dxa"/>
            <w:tcBorders>
              <w:top w:val="single" w:sz="4" w:space="0" w:color="auto"/>
              <w:left w:val="single" w:sz="4" w:space="0" w:color="auto"/>
              <w:bottom w:val="nil"/>
              <w:right w:val="single" w:sz="4" w:space="0" w:color="auto"/>
            </w:tcBorders>
            <w:shd w:val="clear" w:color="000000" w:fill="D7E4BC"/>
            <w:noWrap/>
            <w:vAlign w:val="bottom"/>
            <w:hideMark/>
          </w:tcPr>
          <w:p w:rsidR="00BE52D3" w:rsidRPr="00EE5B25" w:rsidRDefault="00BE52D3" w:rsidP="00BE52D3">
            <w:pPr>
              <w:rPr>
                <w:rFonts w:eastAsia="Times New Roman"/>
                <w:color w:val="000000"/>
                <w:sz w:val="18"/>
                <w:szCs w:val="18"/>
                <w:lang w:eastAsia="nb-NO"/>
              </w:rPr>
            </w:pPr>
            <w:r w:rsidRPr="00EE5B25">
              <w:rPr>
                <w:rFonts w:eastAsia="Times New Roman"/>
                <w:color w:val="000000"/>
                <w:sz w:val="18"/>
                <w:szCs w:val="18"/>
                <w:lang w:eastAsia="nb-NO"/>
              </w:rPr>
              <w:t> </w:t>
            </w:r>
          </w:p>
        </w:tc>
        <w:tc>
          <w:tcPr>
            <w:tcW w:w="1559" w:type="dxa"/>
            <w:tcBorders>
              <w:top w:val="single" w:sz="4" w:space="0" w:color="auto"/>
              <w:left w:val="nil"/>
              <w:bottom w:val="nil"/>
              <w:right w:val="single" w:sz="4" w:space="0" w:color="auto"/>
            </w:tcBorders>
            <w:shd w:val="clear" w:color="000000" w:fill="D7E4BC"/>
            <w:noWrap/>
            <w:vAlign w:val="bottom"/>
            <w:hideMark/>
          </w:tcPr>
          <w:p w:rsidR="00BE52D3" w:rsidRPr="00EE5B25" w:rsidRDefault="00BE52D3" w:rsidP="00BE52D3">
            <w:pPr>
              <w:jc w:val="center"/>
              <w:rPr>
                <w:rFonts w:eastAsia="Times New Roman"/>
                <w:color w:val="000000"/>
                <w:sz w:val="18"/>
                <w:szCs w:val="18"/>
                <w:lang w:eastAsia="nb-NO"/>
              </w:rPr>
            </w:pPr>
            <w:r w:rsidRPr="00EE5B25">
              <w:rPr>
                <w:rFonts w:eastAsia="Times New Roman"/>
                <w:color w:val="000000"/>
                <w:sz w:val="18"/>
                <w:szCs w:val="18"/>
                <w:lang w:eastAsia="nb-NO"/>
              </w:rPr>
              <w:t>Virkelig</w:t>
            </w:r>
          </w:p>
        </w:tc>
        <w:tc>
          <w:tcPr>
            <w:tcW w:w="1417" w:type="dxa"/>
            <w:tcBorders>
              <w:top w:val="single" w:sz="4" w:space="0" w:color="auto"/>
              <w:left w:val="nil"/>
              <w:bottom w:val="nil"/>
              <w:right w:val="single" w:sz="4" w:space="0" w:color="auto"/>
            </w:tcBorders>
            <w:shd w:val="clear" w:color="000000" w:fill="D7E4BC"/>
            <w:noWrap/>
            <w:vAlign w:val="bottom"/>
            <w:hideMark/>
          </w:tcPr>
          <w:p w:rsidR="00BE52D3" w:rsidRPr="00EE5B25" w:rsidRDefault="00BE52D3" w:rsidP="00BE52D3">
            <w:pPr>
              <w:jc w:val="center"/>
              <w:rPr>
                <w:rFonts w:eastAsia="Times New Roman"/>
                <w:color w:val="000000"/>
                <w:sz w:val="18"/>
                <w:szCs w:val="18"/>
                <w:lang w:eastAsia="nb-NO"/>
              </w:rPr>
            </w:pPr>
            <w:r w:rsidRPr="00EE5B25">
              <w:rPr>
                <w:rFonts w:eastAsia="Times New Roman"/>
                <w:color w:val="000000"/>
                <w:sz w:val="18"/>
                <w:szCs w:val="18"/>
                <w:lang w:eastAsia="nb-NO"/>
              </w:rPr>
              <w:t>Budsjett</w:t>
            </w:r>
          </w:p>
        </w:tc>
        <w:tc>
          <w:tcPr>
            <w:tcW w:w="1418" w:type="dxa"/>
            <w:tcBorders>
              <w:top w:val="single" w:sz="4" w:space="0" w:color="auto"/>
              <w:left w:val="nil"/>
              <w:bottom w:val="nil"/>
              <w:right w:val="single" w:sz="4" w:space="0" w:color="auto"/>
            </w:tcBorders>
            <w:shd w:val="clear" w:color="000000" w:fill="D7E4BC"/>
            <w:noWrap/>
            <w:vAlign w:val="bottom"/>
            <w:hideMark/>
          </w:tcPr>
          <w:p w:rsidR="00BE52D3" w:rsidRPr="00EE5B25" w:rsidRDefault="00BE52D3" w:rsidP="00BE52D3">
            <w:pPr>
              <w:jc w:val="center"/>
              <w:rPr>
                <w:rFonts w:eastAsia="Times New Roman"/>
                <w:color w:val="000000"/>
                <w:sz w:val="18"/>
                <w:szCs w:val="18"/>
                <w:lang w:eastAsia="nb-NO"/>
              </w:rPr>
            </w:pPr>
            <w:r w:rsidRPr="00EE5B25">
              <w:rPr>
                <w:rFonts w:eastAsia="Times New Roman"/>
                <w:color w:val="000000"/>
                <w:sz w:val="18"/>
                <w:szCs w:val="18"/>
                <w:lang w:eastAsia="nb-NO"/>
              </w:rPr>
              <w:t>Avvik</w:t>
            </w:r>
          </w:p>
        </w:tc>
        <w:tc>
          <w:tcPr>
            <w:tcW w:w="1322" w:type="dxa"/>
            <w:tcBorders>
              <w:top w:val="single" w:sz="4" w:space="0" w:color="auto"/>
              <w:left w:val="nil"/>
              <w:bottom w:val="nil"/>
              <w:right w:val="single" w:sz="4" w:space="0" w:color="auto"/>
            </w:tcBorders>
            <w:shd w:val="clear" w:color="000000" w:fill="D7E4BC"/>
            <w:noWrap/>
            <w:vAlign w:val="bottom"/>
            <w:hideMark/>
          </w:tcPr>
          <w:p w:rsidR="00BE52D3" w:rsidRPr="00EE5B25" w:rsidRDefault="00EE5B25" w:rsidP="00BE52D3">
            <w:pPr>
              <w:jc w:val="center"/>
              <w:rPr>
                <w:rFonts w:eastAsia="Times New Roman"/>
                <w:color w:val="000000"/>
                <w:sz w:val="18"/>
                <w:szCs w:val="18"/>
                <w:lang w:eastAsia="nb-NO"/>
              </w:rPr>
            </w:pPr>
            <w:r w:rsidRPr="00EE5B25">
              <w:rPr>
                <w:rFonts w:eastAsia="Times New Roman"/>
                <w:color w:val="000000"/>
                <w:sz w:val="18"/>
                <w:szCs w:val="18"/>
                <w:lang w:eastAsia="nb-NO"/>
              </w:rPr>
              <w:t>Bu</w:t>
            </w:r>
            <w:r w:rsidR="00BE52D3" w:rsidRPr="00EE5B25">
              <w:rPr>
                <w:rFonts w:eastAsia="Times New Roman"/>
                <w:color w:val="000000"/>
                <w:sz w:val="18"/>
                <w:szCs w:val="18"/>
                <w:lang w:eastAsia="nb-NO"/>
              </w:rPr>
              <w:t>d</w:t>
            </w:r>
            <w:r w:rsidRPr="00EE5B25">
              <w:rPr>
                <w:rFonts w:eastAsia="Times New Roman"/>
                <w:color w:val="000000"/>
                <w:sz w:val="18"/>
                <w:szCs w:val="18"/>
                <w:lang w:eastAsia="nb-NO"/>
              </w:rPr>
              <w:t>s</w:t>
            </w:r>
            <w:r w:rsidR="00BE52D3" w:rsidRPr="00EE5B25">
              <w:rPr>
                <w:rFonts w:eastAsia="Times New Roman"/>
                <w:color w:val="000000"/>
                <w:sz w:val="18"/>
                <w:szCs w:val="18"/>
                <w:lang w:eastAsia="nb-NO"/>
              </w:rPr>
              <w:t>jett</w:t>
            </w:r>
          </w:p>
        </w:tc>
        <w:tc>
          <w:tcPr>
            <w:tcW w:w="1488" w:type="dxa"/>
            <w:tcBorders>
              <w:top w:val="single" w:sz="4" w:space="0" w:color="auto"/>
              <w:left w:val="nil"/>
              <w:bottom w:val="nil"/>
              <w:right w:val="single" w:sz="4" w:space="0" w:color="auto"/>
            </w:tcBorders>
            <w:shd w:val="clear" w:color="000000" w:fill="D7E4BC"/>
            <w:noWrap/>
            <w:vAlign w:val="bottom"/>
            <w:hideMark/>
          </w:tcPr>
          <w:p w:rsidR="00BE52D3" w:rsidRPr="00EE5B25" w:rsidRDefault="00BE52D3" w:rsidP="00BE52D3">
            <w:pPr>
              <w:jc w:val="center"/>
              <w:rPr>
                <w:rFonts w:eastAsia="Times New Roman"/>
                <w:color w:val="000000"/>
                <w:sz w:val="18"/>
                <w:szCs w:val="18"/>
                <w:lang w:eastAsia="nb-NO"/>
              </w:rPr>
            </w:pPr>
            <w:r w:rsidRPr="00EE5B25">
              <w:rPr>
                <w:rFonts w:eastAsia="Times New Roman"/>
                <w:color w:val="000000"/>
                <w:sz w:val="18"/>
                <w:szCs w:val="18"/>
                <w:lang w:eastAsia="nb-NO"/>
              </w:rPr>
              <w:t>Fjorår</w:t>
            </w:r>
          </w:p>
        </w:tc>
      </w:tr>
      <w:tr w:rsidR="00BE52D3" w:rsidRPr="00BE52D3" w:rsidTr="00EE5B25">
        <w:trPr>
          <w:trHeight w:val="284"/>
        </w:trPr>
        <w:tc>
          <w:tcPr>
            <w:tcW w:w="2450" w:type="dxa"/>
            <w:tcBorders>
              <w:top w:val="nil"/>
              <w:left w:val="single" w:sz="4" w:space="0" w:color="auto"/>
              <w:bottom w:val="single" w:sz="4" w:space="0" w:color="auto"/>
              <w:right w:val="single" w:sz="4" w:space="0" w:color="auto"/>
            </w:tcBorders>
            <w:shd w:val="clear" w:color="000000" w:fill="D7E4BC"/>
            <w:noWrap/>
            <w:vAlign w:val="bottom"/>
            <w:hideMark/>
          </w:tcPr>
          <w:p w:rsidR="00BE52D3" w:rsidRPr="00EE5B25" w:rsidRDefault="00BE52D3" w:rsidP="00BE52D3">
            <w:pPr>
              <w:rPr>
                <w:rFonts w:eastAsia="Times New Roman"/>
                <w:b/>
                <w:bCs/>
                <w:color w:val="000000"/>
                <w:sz w:val="18"/>
                <w:szCs w:val="18"/>
                <w:lang w:eastAsia="nb-NO"/>
              </w:rPr>
            </w:pPr>
            <w:r w:rsidRPr="00EE5B25">
              <w:rPr>
                <w:rFonts w:eastAsia="Times New Roman"/>
                <w:b/>
                <w:bCs/>
                <w:color w:val="000000"/>
                <w:sz w:val="18"/>
                <w:szCs w:val="18"/>
                <w:lang w:eastAsia="nb-NO"/>
              </w:rPr>
              <w:t>INNTEKTER</w:t>
            </w:r>
          </w:p>
        </w:tc>
        <w:tc>
          <w:tcPr>
            <w:tcW w:w="1559" w:type="dxa"/>
            <w:tcBorders>
              <w:top w:val="nil"/>
              <w:left w:val="nil"/>
              <w:bottom w:val="single" w:sz="4" w:space="0" w:color="auto"/>
              <w:right w:val="single" w:sz="4" w:space="0" w:color="auto"/>
            </w:tcBorders>
            <w:shd w:val="clear" w:color="000000" w:fill="D7E4BC"/>
            <w:noWrap/>
            <w:vAlign w:val="bottom"/>
            <w:hideMark/>
          </w:tcPr>
          <w:p w:rsidR="00BE52D3" w:rsidRPr="00EE5B25" w:rsidRDefault="00BE52D3" w:rsidP="00BE52D3">
            <w:pPr>
              <w:jc w:val="center"/>
              <w:rPr>
                <w:rFonts w:eastAsia="Times New Roman"/>
                <w:color w:val="000000"/>
                <w:sz w:val="18"/>
                <w:szCs w:val="18"/>
                <w:lang w:eastAsia="nb-NO"/>
              </w:rPr>
            </w:pPr>
            <w:proofErr w:type="gramStart"/>
            <w:r w:rsidRPr="00EE5B25">
              <w:rPr>
                <w:rFonts w:eastAsia="Times New Roman"/>
                <w:color w:val="000000"/>
                <w:sz w:val="18"/>
                <w:szCs w:val="18"/>
                <w:lang w:eastAsia="nb-NO"/>
              </w:rPr>
              <w:t>31.08.2016</w:t>
            </w:r>
            <w:proofErr w:type="gramEnd"/>
          </w:p>
        </w:tc>
        <w:tc>
          <w:tcPr>
            <w:tcW w:w="1417" w:type="dxa"/>
            <w:tcBorders>
              <w:top w:val="nil"/>
              <w:left w:val="nil"/>
              <w:bottom w:val="single" w:sz="4" w:space="0" w:color="auto"/>
              <w:right w:val="single" w:sz="4" w:space="0" w:color="auto"/>
            </w:tcBorders>
            <w:shd w:val="clear" w:color="000000" w:fill="D7E4BC"/>
            <w:noWrap/>
            <w:vAlign w:val="bottom"/>
            <w:hideMark/>
          </w:tcPr>
          <w:p w:rsidR="00BE52D3" w:rsidRPr="00EE5B25" w:rsidRDefault="00BE52D3" w:rsidP="00BE52D3">
            <w:pPr>
              <w:jc w:val="center"/>
              <w:rPr>
                <w:rFonts w:eastAsia="Times New Roman"/>
                <w:color w:val="000000"/>
                <w:sz w:val="18"/>
                <w:szCs w:val="18"/>
                <w:lang w:eastAsia="nb-NO"/>
              </w:rPr>
            </w:pPr>
            <w:proofErr w:type="gramStart"/>
            <w:r w:rsidRPr="00EE5B25">
              <w:rPr>
                <w:rFonts w:eastAsia="Times New Roman"/>
                <w:color w:val="000000"/>
                <w:sz w:val="18"/>
                <w:szCs w:val="18"/>
                <w:lang w:eastAsia="nb-NO"/>
              </w:rPr>
              <w:t>31.08.2016</w:t>
            </w:r>
            <w:proofErr w:type="gramEnd"/>
          </w:p>
        </w:tc>
        <w:tc>
          <w:tcPr>
            <w:tcW w:w="1418" w:type="dxa"/>
            <w:tcBorders>
              <w:top w:val="nil"/>
              <w:left w:val="nil"/>
              <w:bottom w:val="single" w:sz="4" w:space="0" w:color="auto"/>
              <w:right w:val="single" w:sz="4" w:space="0" w:color="auto"/>
            </w:tcBorders>
            <w:shd w:val="clear" w:color="000000" w:fill="D7E4BC"/>
            <w:noWrap/>
            <w:vAlign w:val="bottom"/>
            <w:hideMark/>
          </w:tcPr>
          <w:p w:rsidR="00BE52D3" w:rsidRPr="00EE5B25" w:rsidRDefault="00BE52D3" w:rsidP="00BE52D3">
            <w:pPr>
              <w:jc w:val="center"/>
              <w:rPr>
                <w:rFonts w:eastAsia="Times New Roman"/>
                <w:color w:val="000000"/>
                <w:sz w:val="18"/>
                <w:szCs w:val="18"/>
                <w:lang w:eastAsia="nb-NO"/>
              </w:rPr>
            </w:pPr>
            <w:proofErr w:type="gramStart"/>
            <w:r w:rsidRPr="00EE5B25">
              <w:rPr>
                <w:rFonts w:eastAsia="Times New Roman"/>
                <w:color w:val="000000"/>
                <w:sz w:val="18"/>
                <w:szCs w:val="18"/>
                <w:lang w:eastAsia="nb-NO"/>
              </w:rPr>
              <w:t>31.08.2016</w:t>
            </w:r>
            <w:proofErr w:type="gramEnd"/>
          </w:p>
        </w:tc>
        <w:tc>
          <w:tcPr>
            <w:tcW w:w="1322" w:type="dxa"/>
            <w:tcBorders>
              <w:top w:val="nil"/>
              <w:left w:val="nil"/>
              <w:bottom w:val="single" w:sz="4" w:space="0" w:color="auto"/>
              <w:right w:val="single" w:sz="4" w:space="0" w:color="auto"/>
            </w:tcBorders>
            <w:shd w:val="clear" w:color="000000" w:fill="D7E4BC"/>
            <w:noWrap/>
            <w:vAlign w:val="bottom"/>
            <w:hideMark/>
          </w:tcPr>
          <w:p w:rsidR="00BE52D3" w:rsidRPr="00EE5B25" w:rsidRDefault="00BE52D3" w:rsidP="00BE52D3">
            <w:pPr>
              <w:jc w:val="center"/>
              <w:rPr>
                <w:rFonts w:eastAsia="Times New Roman"/>
                <w:color w:val="000000"/>
                <w:sz w:val="18"/>
                <w:szCs w:val="18"/>
                <w:lang w:eastAsia="nb-NO"/>
              </w:rPr>
            </w:pPr>
            <w:r w:rsidRPr="00EE5B25">
              <w:rPr>
                <w:rFonts w:eastAsia="Times New Roman"/>
                <w:color w:val="000000"/>
                <w:sz w:val="18"/>
                <w:szCs w:val="18"/>
                <w:lang w:eastAsia="nb-NO"/>
              </w:rPr>
              <w:t>2016</w:t>
            </w:r>
          </w:p>
        </w:tc>
        <w:tc>
          <w:tcPr>
            <w:tcW w:w="1488" w:type="dxa"/>
            <w:tcBorders>
              <w:top w:val="nil"/>
              <w:left w:val="nil"/>
              <w:bottom w:val="single" w:sz="4" w:space="0" w:color="auto"/>
              <w:right w:val="single" w:sz="4" w:space="0" w:color="auto"/>
            </w:tcBorders>
            <w:shd w:val="clear" w:color="000000" w:fill="D7E4BC"/>
            <w:noWrap/>
            <w:vAlign w:val="bottom"/>
            <w:hideMark/>
          </w:tcPr>
          <w:p w:rsidR="00BE52D3" w:rsidRPr="00EE5B25" w:rsidRDefault="00BE52D3" w:rsidP="00BE52D3">
            <w:pPr>
              <w:jc w:val="center"/>
              <w:rPr>
                <w:rFonts w:eastAsia="Times New Roman"/>
                <w:color w:val="000000"/>
                <w:sz w:val="18"/>
                <w:szCs w:val="18"/>
                <w:lang w:eastAsia="nb-NO"/>
              </w:rPr>
            </w:pPr>
            <w:r w:rsidRPr="00EE5B25">
              <w:rPr>
                <w:rFonts w:eastAsia="Times New Roman"/>
                <w:color w:val="000000"/>
                <w:sz w:val="18"/>
                <w:szCs w:val="18"/>
                <w:lang w:eastAsia="nb-NO"/>
              </w:rPr>
              <w:t>31.12.2015</w:t>
            </w:r>
          </w:p>
        </w:tc>
      </w:tr>
      <w:tr w:rsidR="00BE52D3" w:rsidRPr="00BE52D3" w:rsidTr="00EE5B25">
        <w:trPr>
          <w:trHeight w:hRule="exact" w:val="227"/>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w:t>
            </w:r>
          </w:p>
        </w:tc>
        <w:tc>
          <w:tcPr>
            <w:tcW w:w="1559" w:type="dxa"/>
            <w:tcBorders>
              <w:top w:val="nil"/>
              <w:left w:val="nil"/>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w:t>
            </w:r>
          </w:p>
        </w:tc>
        <w:tc>
          <w:tcPr>
            <w:tcW w:w="1417" w:type="dxa"/>
            <w:tcBorders>
              <w:top w:val="nil"/>
              <w:left w:val="nil"/>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w:t>
            </w:r>
          </w:p>
        </w:tc>
        <w:tc>
          <w:tcPr>
            <w:tcW w:w="1418" w:type="dxa"/>
            <w:tcBorders>
              <w:top w:val="nil"/>
              <w:left w:val="nil"/>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w:t>
            </w:r>
          </w:p>
        </w:tc>
        <w:tc>
          <w:tcPr>
            <w:tcW w:w="1322" w:type="dxa"/>
            <w:tcBorders>
              <w:top w:val="nil"/>
              <w:left w:val="nil"/>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w:t>
            </w:r>
          </w:p>
        </w:tc>
        <w:tc>
          <w:tcPr>
            <w:tcW w:w="1488" w:type="dxa"/>
            <w:tcBorders>
              <w:top w:val="nil"/>
              <w:left w:val="nil"/>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Kontingenter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4 910 275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4 913 333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-3 058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7 370 000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7 484 188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proofErr w:type="spellStart"/>
            <w:r w:rsidRPr="00EE5B25">
              <w:rPr>
                <w:rFonts w:asciiTheme="minorHAnsi" w:eastAsia="Times New Roman" w:hAnsiTheme="minorHAnsi" w:cstheme="minorHAnsi"/>
                <w:color w:val="000000"/>
                <w:sz w:val="18"/>
                <w:szCs w:val="18"/>
                <w:lang w:eastAsia="nb-NO"/>
              </w:rPr>
              <w:t>Adm</w:t>
            </w:r>
            <w:proofErr w:type="spellEnd"/>
            <w:r w:rsidRPr="00EE5B25">
              <w:rPr>
                <w:rFonts w:asciiTheme="minorHAnsi" w:eastAsia="Times New Roman" w:hAnsiTheme="minorHAnsi" w:cstheme="minorHAnsi"/>
                <w:color w:val="000000"/>
                <w:sz w:val="18"/>
                <w:szCs w:val="18"/>
                <w:lang w:eastAsia="nb-NO"/>
              </w:rPr>
              <w:t xml:space="preserve"> vederlag</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42 977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100 000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-57 023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150 000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186 832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Refusjon OR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130 000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153 333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-23 333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230 000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230 000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Prosjektmidler / PFF</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1 215 505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766 667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448 838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1 150 000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1 070 000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Møteinntekter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819 143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666 667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152 476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1 000 </w:t>
            </w:r>
            <w:proofErr w:type="spellStart"/>
            <w:r w:rsidRPr="00EE5B25">
              <w:rPr>
                <w:rFonts w:asciiTheme="minorHAnsi" w:eastAsia="Times New Roman" w:hAnsiTheme="minorHAnsi" w:cstheme="minorHAnsi"/>
                <w:color w:val="000000"/>
                <w:sz w:val="18"/>
                <w:szCs w:val="18"/>
                <w:lang w:eastAsia="nb-NO"/>
              </w:rPr>
              <w:t>000</w:t>
            </w:r>
            <w:proofErr w:type="spellEnd"/>
            <w:r w:rsidRPr="00EE5B25">
              <w:rPr>
                <w:rFonts w:asciiTheme="minorHAnsi" w:eastAsia="Times New Roman" w:hAnsiTheme="minorHAnsi" w:cstheme="minorHAnsi"/>
                <w:color w:val="000000"/>
                <w:sz w:val="18"/>
                <w:szCs w:val="18"/>
                <w:lang w:eastAsia="nb-NO"/>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890 175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Andre inntekter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-23 283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35 000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155 176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Gevinst </w:t>
            </w:r>
            <w:proofErr w:type="spellStart"/>
            <w:r w:rsidRPr="00EE5B25">
              <w:rPr>
                <w:rFonts w:asciiTheme="minorHAnsi" w:eastAsia="Times New Roman" w:hAnsiTheme="minorHAnsi" w:cstheme="minorHAnsi"/>
                <w:color w:val="000000"/>
                <w:sz w:val="18"/>
                <w:szCs w:val="18"/>
                <w:lang w:eastAsia="nb-NO"/>
              </w:rPr>
              <w:t>avg.transport</w:t>
            </w:r>
            <w:proofErr w:type="spellEnd"/>
            <w:r w:rsidRPr="00EE5B25">
              <w:rPr>
                <w:rFonts w:asciiTheme="minorHAnsi" w:eastAsia="Times New Roman" w:hAnsiTheme="minorHAnsi" w:cstheme="minorHAnsi"/>
                <w:color w:val="000000"/>
                <w:sz w:val="18"/>
                <w:szCs w:val="18"/>
                <w:lang w:eastAsia="nb-NO"/>
              </w:rPr>
              <w:t xml:space="preserve"> maskiner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37 510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BE52D3" w:rsidRPr="00EE5B25" w:rsidRDefault="00BE52D3" w:rsidP="00BE52D3">
            <w:pPr>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SUM INNTEKTER</w:t>
            </w:r>
          </w:p>
        </w:tc>
        <w:tc>
          <w:tcPr>
            <w:tcW w:w="1559" w:type="dxa"/>
            <w:tcBorders>
              <w:top w:val="single" w:sz="4" w:space="0" w:color="auto"/>
              <w:left w:val="nil"/>
              <w:bottom w:val="single" w:sz="4" w:space="0" w:color="auto"/>
              <w:right w:val="single" w:sz="4" w:space="0" w:color="auto"/>
            </w:tcBorders>
            <w:shd w:val="clear" w:color="000000" w:fill="EAF1DD"/>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7 117 950 </w:t>
            </w:r>
          </w:p>
        </w:tc>
        <w:tc>
          <w:tcPr>
            <w:tcW w:w="1417" w:type="dxa"/>
            <w:tcBorders>
              <w:top w:val="single" w:sz="4" w:space="0" w:color="auto"/>
              <w:left w:val="nil"/>
              <w:bottom w:val="single" w:sz="4" w:space="0" w:color="auto"/>
              <w:right w:val="single" w:sz="4" w:space="0" w:color="auto"/>
            </w:tcBorders>
            <w:shd w:val="clear" w:color="000000" w:fill="EAF1DD"/>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6 623 333 </w:t>
            </w:r>
          </w:p>
        </w:tc>
        <w:tc>
          <w:tcPr>
            <w:tcW w:w="1418" w:type="dxa"/>
            <w:tcBorders>
              <w:top w:val="single" w:sz="4" w:space="0" w:color="auto"/>
              <w:left w:val="nil"/>
              <w:bottom w:val="single" w:sz="4" w:space="0" w:color="auto"/>
              <w:right w:val="single" w:sz="4" w:space="0" w:color="auto"/>
            </w:tcBorders>
            <w:shd w:val="clear" w:color="000000" w:fill="EAF1DD"/>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494 617 </w:t>
            </w:r>
          </w:p>
        </w:tc>
        <w:tc>
          <w:tcPr>
            <w:tcW w:w="1322" w:type="dxa"/>
            <w:tcBorders>
              <w:top w:val="single" w:sz="4" w:space="0" w:color="auto"/>
              <w:left w:val="nil"/>
              <w:bottom w:val="single" w:sz="4" w:space="0" w:color="auto"/>
              <w:right w:val="single" w:sz="4" w:space="0" w:color="auto"/>
            </w:tcBorders>
            <w:shd w:val="clear" w:color="000000" w:fill="EAF1DD"/>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9 935 000 </w:t>
            </w:r>
          </w:p>
        </w:tc>
        <w:tc>
          <w:tcPr>
            <w:tcW w:w="1488" w:type="dxa"/>
            <w:tcBorders>
              <w:top w:val="single" w:sz="4" w:space="0" w:color="auto"/>
              <w:left w:val="nil"/>
              <w:bottom w:val="single" w:sz="4" w:space="0" w:color="auto"/>
              <w:right w:val="single" w:sz="4" w:space="0" w:color="auto"/>
            </w:tcBorders>
            <w:shd w:val="clear" w:color="000000" w:fill="EAF1DD"/>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10 053 881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Kontingent NP</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1 080 000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1 080 000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1 620 000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1 596 999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Regionkontingenter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896 415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695 000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201 415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1 042 500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1 099 500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Pensjonistkontingenter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39 300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NJ felleskasser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32 625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22 625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15 000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15 000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proofErr w:type="spellStart"/>
            <w:r w:rsidRPr="00EE5B25">
              <w:rPr>
                <w:rFonts w:asciiTheme="minorHAnsi" w:eastAsia="Times New Roman" w:hAnsiTheme="minorHAnsi" w:cstheme="minorHAnsi"/>
                <w:color w:val="000000"/>
                <w:sz w:val="18"/>
                <w:szCs w:val="18"/>
                <w:lang w:eastAsia="nb-NO"/>
              </w:rPr>
              <w:t>Tilltak</w:t>
            </w:r>
            <w:proofErr w:type="spellEnd"/>
            <w:r w:rsidRPr="00EE5B25">
              <w:rPr>
                <w:rFonts w:asciiTheme="minorHAnsi" w:eastAsia="Times New Roman" w:hAnsiTheme="minorHAnsi" w:cstheme="minorHAnsi"/>
                <w:color w:val="000000"/>
                <w:sz w:val="18"/>
                <w:szCs w:val="18"/>
                <w:lang w:eastAsia="nb-NO"/>
              </w:rPr>
              <w:t xml:space="preserve"> i handlingsplanen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112 442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133 333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-20 891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226 462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Viderefakturerte 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138 217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Kostnader vårmøte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654 146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366 667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287 479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550 000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465 087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Kostnader høstmøte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145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233 333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-233 188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350 000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395 753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Kostnader andre møter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201 048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300 000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-98 952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450 000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517 220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Honorar u/trekk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Diverse 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Pressekort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20 590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13 923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8 577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Prosjekter og utredninger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41 014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100 000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-58 986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150 000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180 153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Sum prosjektkostnader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3 038 425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2 965 000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73 425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4 447 500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4 682 268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Lønnskostnader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1 573 128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2 066 667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-493 539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3 100 000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2 821 089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Andre lønnskostnader / pensjon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796 649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690 000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106 649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1 035 000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865 092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Andre personalkostnader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41 070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4 403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55 000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58 669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Refunderte administrasjonskostnader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-123 662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-133 333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9 671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-319 638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Sum personalkostnader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2 287 185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2 660 000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-372 815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3 990 000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3 425 212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Avskrivninger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79 815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29 815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75 000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87 660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Kostnader lokaler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468 362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453 333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15 029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680 000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613 891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Inventar / vedlikehold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26 593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6 593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49 010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Fremmede tjenester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172 171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-27 829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300 000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305 917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Kontorkostnader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156 041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133 333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22 708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237 591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Aviser og faglitteratur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40 587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-6 080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71 152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Telekostnader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47 954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7 954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119 114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Porto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5 879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-7 454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22 861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Bilkostnader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14 086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Reisekostnader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54 757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133 333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-78 576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200 000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148 584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kurs/reklamekostnader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40 816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7 483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40 305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Gaver og kontingenter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43 719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40 000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3 719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72 123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Forsikring</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5 000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-5 000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7 500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Bankkostnader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4 665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-2 002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4 563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Tap og lignende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4 356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-12 311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25 000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30 500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Sum driftskostnader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1 145 715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1 191 667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-45 952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1 787 500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1 817 357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BE52D3" w:rsidRPr="00EE5B25" w:rsidRDefault="00BE52D3" w:rsidP="00BE52D3">
            <w:pPr>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SUM KOSTNADER</w:t>
            </w:r>
          </w:p>
        </w:tc>
        <w:tc>
          <w:tcPr>
            <w:tcW w:w="1559" w:type="dxa"/>
            <w:tcBorders>
              <w:top w:val="single" w:sz="4" w:space="0" w:color="auto"/>
              <w:left w:val="nil"/>
              <w:bottom w:val="single" w:sz="4" w:space="0" w:color="auto"/>
              <w:right w:val="single" w:sz="4" w:space="0" w:color="auto"/>
            </w:tcBorders>
            <w:shd w:val="clear" w:color="000000" w:fill="EAF1DD"/>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6 471 325 </w:t>
            </w:r>
          </w:p>
        </w:tc>
        <w:tc>
          <w:tcPr>
            <w:tcW w:w="1417" w:type="dxa"/>
            <w:tcBorders>
              <w:top w:val="single" w:sz="4" w:space="0" w:color="auto"/>
              <w:left w:val="nil"/>
              <w:bottom w:val="single" w:sz="4" w:space="0" w:color="auto"/>
              <w:right w:val="single" w:sz="4" w:space="0" w:color="auto"/>
            </w:tcBorders>
            <w:shd w:val="clear" w:color="000000" w:fill="EAF1DD"/>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6 816 667 </w:t>
            </w:r>
          </w:p>
        </w:tc>
        <w:tc>
          <w:tcPr>
            <w:tcW w:w="1418" w:type="dxa"/>
            <w:tcBorders>
              <w:top w:val="single" w:sz="4" w:space="0" w:color="auto"/>
              <w:left w:val="nil"/>
              <w:bottom w:val="single" w:sz="4" w:space="0" w:color="auto"/>
              <w:right w:val="single" w:sz="4" w:space="0" w:color="auto"/>
            </w:tcBorders>
            <w:shd w:val="clear" w:color="000000" w:fill="EAF1DD"/>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-345 342 </w:t>
            </w:r>
          </w:p>
        </w:tc>
        <w:tc>
          <w:tcPr>
            <w:tcW w:w="1322" w:type="dxa"/>
            <w:tcBorders>
              <w:top w:val="single" w:sz="4" w:space="0" w:color="auto"/>
              <w:left w:val="nil"/>
              <w:bottom w:val="single" w:sz="4" w:space="0" w:color="auto"/>
              <w:right w:val="single" w:sz="4" w:space="0" w:color="auto"/>
            </w:tcBorders>
            <w:shd w:val="clear" w:color="000000" w:fill="EAF1DD"/>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10 225 000 </w:t>
            </w:r>
          </w:p>
        </w:tc>
        <w:tc>
          <w:tcPr>
            <w:tcW w:w="1488" w:type="dxa"/>
            <w:tcBorders>
              <w:top w:val="single" w:sz="4" w:space="0" w:color="auto"/>
              <w:left w:val="nil"/>
              <w:bottom w:val="single" w:sz="4" w:space="0" w:color="auto"/>
              <w:right w:val="single" w:sz="4" w:space="0" w:color="auto"/>
            </w:tcBorders>
            <w:shd w:val="clear" w:color="000000" w:fill="EAF1DD"/>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9 924 837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Resultat før finans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040DC5" w:rsidP="00BE52D3">
            <w:pPr>
              <w:jc w:val="right"/>
              <w:rPr>
                <w:rFonts w:asciiTheme="minorHAnsi" w:eastAsia="Times New Roman" w:hAnsiTheme="minorHAnsi" w:cstheme="minorHAnsi"/>
                <w:b/>
                <w:bCs/>
                <w:color w:val="000000"/>
                <w:sz w:val="18"/>
                <w:szCs w:val="18"/>
                <w:lang w:eastAsia="nb-NO"/>
              </w:rPr>
            </w:pPr>
            <w:r>
              <w:rPr>
                <w:rFonts w:asciiTheme="minorHAnsi" w:eastAsia="Times New Roman" w:hAnsiTheme="minorHAnsi" w:cstheme="minorHAnsi"/>
                <w:b/>
                <w:bCs/>
                <w:color w:val="000000"/>
                <w:sz w:val="18"/>
                <w:szCs w:val="18"/>
                <w:lang w:eastAsia="nb-NO"/>
              </w:rPr>
              <w:t xml:space="preserve">         </w:t>
            </w:r>
            <w:r w:rsidR="00BE52D3" w:rsidRPr="00EE5B25">
              <w:rPr>
                <w:rFonts w:asciiTheme="minorHAnsi" w:eastAsia="Times New Roman" w:hAnsiTheme="minorHAnsi" w:cstheme="minorHAnsi"/>
                <w:b/>
                <w:bCs/>
                <w:color w:val="000000"/>
                <w:sz w:val="18"/>
                <w:szCs w:val="18"/>
                <w:lang w:eastAsia="nb-NO"/>
              </w:rPr>
              <w:t xml:space="preserve">646 625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w:t>
            </w:r>
            <w:r w:rsidR="00040DC5">
              <w:rPr>
                <w:rFonts w:asciiTheme="minorHAnsi" w:eastAsia="Times New Roman" w:hAnsiTheme="minorHAnsi" w:cstheme="minorHAnsi"/>
                <w:b/>
                <w:bCs/>
                <w:color w:val="000000"/>
                <w:sz w:val="18"/>
                <w:szCs w:val="18"/>
                <w:lang w:eastAsia="nb-NO"/>
              </w:rPr>
              <w:t>-</w:t>
            </w:r>
            <w:r w:rsidRPr="00EE5B25">
              <w:rPr>
                <w:rFonts w:asciiTheme="minorHAnsi" w:eastAsia="Times New Roman" w:hAnsiTheme="minorHAnsi" w:cstheme="minorHAnsi"/>
                <w:b/>
                <w:bCs/>
                <w:color w:val="000000"/>
                <w:sz w:val="18"/>
                <w:szCs w:val="18"/>
                <w:lang w:eastAsia="nb-NO"/>
              </w:rPr>
              <w:t xml:space="preserve"> 193 333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-839 958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290 000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-129 044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Renteinntekter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66 667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-66 667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100 000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103 151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Finanskostnader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700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3 333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-2 633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5 000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xml:space="preserve">                1 847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BE52D3" w:rsidRPr="00EE5B25" w:rsidRDefault="00BE52D3" w:rsidP="00BE52D3">
            <w:pPr>
              <w:jc w:val="right"/>
              <w:rPr>
                <w:rFonts w:asciiTheme="minorHAnsi" w:eastAsia="Times New Roman" w:hAnsiTheme="minorHAnsi" w:cstheme="minorHAnsi"/>
                <w:color w:val="000000"/>
                <w:sz w:val="18"/>
                <w:szCs w:val="18"/>
                <w:lang w:eastAsia="nb-NO"/>
              </w:rPr>
            </w:pPr>
            <w:r w:rsidRPr="00EE5B25">
              <w:rPr>
                <w:rFonts w:asciiTheme="minorHAnsi" w:eastAsia="Times New Roman" w:hAnsiTheme="minorHAnsi" w:cstheme="minorHAnsi"/>
                <w:color w:val="000000"/>
                <w:sz w:val="18"/>
                <w:szCs w:val="18"/>
                <w:lang w:eastAsia="nb-NO"/>
              </w:rPr>
              <w:t>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BE52D3" w:rsidRPr="00EE5B25" w:rsidRDefault="00BE52D3" w:rsidP="00BE52D3">
            <w:pPr>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RESULTAT</w:t>
            </w:r>
          </w:p>
        </w:tc>
        <w:tc>
          <w:tcPr>
            <w:tcW w:w="1559" w:type="dxa"/>
            <w:tcBorders>
              <w:top w:val="single" w:sz="4" w:space="0" w:color="auto"/>
              <w:left w:val="nil"/>
              <w:bottom w:val="single" w:sz="4" w:space="0" w:color="auto"/>
              <w:right w:val="single" w:sz="4" w:space="0" w:color="auto"/>
            </w:tcBorders>
            <w:shd w:val="clear" w:color="000000" w:fill="D7E4BC"/>
            <w:noWrap/>
            <w:vAlign w:val="bottom"/>
            <w:hideMark/>
          </w:tcPr>
          <w:p w:rsidR="00BE52D3" w:rsidRPr="00EE5B25" w:rsidRDefault="00040DC5" w:rsidP="00BE52D3">
            <w:pPr>
              <w:jc w:val="right"/>
              <w:rPr>
                <w:rFonts w:asciiTheme="minorHAnsi" w:eastAsia="Times New Roman" w:hAnsiTheme="minorHAnsi" w:cstheme="minorHAnsi"/>
                <w:b/>
                <w:bCs/>
                <w:color w:val="000000"/>
                <w:sz w:val="18"/>
                <w:szCs w:val="18"/>
                <w:lang w:eastAsia="nb-NO"/>
              </w:rPr>
            </w:pPr>
            <w:r>
              <w:rPr>
                <w:rFonts w:asciiTheme="minorHAnsi" w:eastAsia="Times New Roman" w:hAnsiTheme="minorHAnsi" w:cstheme="minorHAnsi"/>
                <w:b/>
                <w:bCs/>
                <w:color w:val="000000"/>
                <w:sz w:val="18"/>
                <w:szCs w:val="18"/>
                <w:lang w:eastAsia="nb-NO"/>
              </w:rPr>
              <w:t xml:space="preserve">         </w:t>
            </w:r>
            <w:r w:rsidR="00BE52D3" w:rsidRPr="00EE5B25">
              <w:rPr>
                <w:rFonts w:asciiTheme="minorHAnsi" w:eastAsia="Times New Roman" w:hAnsiTheme="minorHAnsi" w:cstheme="minorHAnsi"/>
                <w:b/>
                <w:bCs/>
                <w:color w:val="000000"/>
                <w:sz w:val="18"/>
                <w:szCs w:val="18"/>
                <w:lang w:eastAsia="nb-NO"/>
              </w:rPr>
              <w:t xml:space="preserve">645 925 </w:t>
            </w:r>
          </w:p>
        </w:tc>
        <w:tc>
          <w:tcPr>
            <w:tcW w:w="1417" w:type="dxa"/>
            <w:tcBorders>
              <w:top w:val="single" w:sz="4" w:space="0" w:color="auto"/>
              <w:left w:val="nil"/>
              <w:bottom w:val="single" w:sz="4" w:space="0" w:color="auto"/>
              <w:right w:val="single" w:sz="4" w:space="0" w:color="auto"/>
            </w:tcBorders>
            <w:shd w:val="clear" w:color="000000" w:fill="D7E4BC"/>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w:t>
            </w:r>
            <w:r w:rsidR="00040DC5">
              <w:rPr>
                <w:rFonts w:asciiTheme="minorHAnsi" w:eastAsia="Times New Roman" w:hAnsiTheme="minorHAnsi" w:cstheme="minorHAnsi"/>
                <w:b/>
                <w:bCs/>
                <w:color w:val="000000"/>
                <w:sz w:val="18"/>
                <w:szCs w:val="18"/>
                <w:lang w:eastAsia="nb-NO"/>
              </w:rPr>
              <w:t>-</w:t>
            </w:r>
            <w:r w:rsidRPr="00EE5B25">
              <w:rPr>
                <w:rFonts w:asciiTheme="minorHAnsi" w:eastAsia="Times New Roman" w:hAnsiTheme="minorHAnsi" w:cstheme="minorHAnsi"/>
                <w:b/>
                <w:bCs/>
                <w:color w:val="000000"/>
                <w:sz w:val="18"/>
                <w:szCs w:val="18"/>
                <w:lang w:eastAsia="nb-NO"/>
              </w:rPr>
              <w:t xml:space="preserve">130 000 </w:t>
            </w:r>
          </w:p>
        </w:tc>
        <w:tc>
          <w:tcPr>
            <w:tcW w:w="1418" w:type="dxa"/>
            <w:tcBorders>
              <w:top w:val="single" w:sz="4" w:space="0" w:color="auto"/>
              <w:left w:val="nil"/>
              <w:bottom w:val="single" w:sz="4" w:space="0" w:color="auto"/>
              <w:right w:val="single" w:sz="4" w:space="0" w:color="auto"/>
            </w:tcBorders>
            <w:shd w:val="clear" w:color="000000" w:fill="D7E4BC"/>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-775 925 </w:t>
            </w:r>
          </w:p>
        </w:tc>
        <w:tc>
          <w:tcPr>
            <w:tcW w:w="1322" w:type="dxa"/>
            <w:tcBorders>
              <w:top w:val="single" w:sz="4" w:space="0" w:color="auto"/>
              <w:left w:val="nil"/>
              <w:bottom w:val="single" w:sz="4" w:space="0" w:color="auto"/>
              <w:right w:val="single" w:sz="4" w:space="0" w:color="auto"/>
            </w:tcBorders>
            <w:shd w:val="clear" w:color="000000" w:fill="D7E4BC"/>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195 000 </w:t>
            </w:r>
          </w:p>
        </w:tc>
        <w:tc>
          <w:tcPr>
            <w:tcW w:w="1488" w:type="dxa"/>
            <w:tcBorders>
              <w:top w:val="single" w:sz="4" w:space="0" w:color="auto"/>
              <w:left w:val="nil"/>
              <w:bottom w:val="single" w:sz="4" w:space="0" w:color="auto"/>
              <w:right w:val="single" w:sz="4" w:space="0" w:color="auto"/>
            </w:tcBorders>
            <w:shd w:val="clear" w:color="000000" w:fill="D7E4BC"/>
            <w:noWrap/>
            <w:vAlign w:val="bottom"/>
            <w:hideMark/>
          </w:tcPr>
          <w:p w:rsidR="00BE52D3" w:rsidRPr="00EE5B25" w:rsidRDefault="00BE52D3" w:rsidP="00BE52D3">
            <w:pPr>
              <w:jc w:val="right"/>
              <w:rPr>
                <w:rFonts w:asciiTheme="minorHAnsi" w:eastAsia="Times New Roman" w:hAnsiTheme="minorHAnsi" w:cstheme="minorHAnsi"/>
                <w:b/>
                <w:bCs/>
                <w:color w:val="000000"/>
                <w:sz w:val="18"/>
                <w:szCs w:val="18"/>
                <w:lang w:eastAsia="nb-NO"/>
              </w:rPr>
            </w:pPr>
            <w:r w:rsidRPr="00EE5B25">
              <w:rPr>
                <w:rFonts w:asciiTheme="minorHAnsi" w:eastAsia="Times New Roman" w:hAnsiTheme="minorHAnsi" w:cstheme="minorHAnsi"/>
                <w:b/>
                <w:bCs/>
                <w:color w:val="000000"/>
                <w:sz w:val="18"/>
                <w:szCs w:val="18"/>
                <w:lang w:eastAsia="nb-NO"/>
              </w:rPr>
              <w:t xml:space="preserve">         -230 348 </w:t>
            </w:r>
          </w:p>
        </w:tc>
      </w:tr>
      <w:tr w:rsidR="00BE52D3" w:rsidRPr="00BE52D3" w:rsidTr="00EE5B25">
        <w:trPr>
          <w:trHeight w:hRule="exact" w:val="227"/>
        </w:trPr>
        <w:tc>
          <w:tcPr>
            <w:tcW w:w="2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EE5B25" w:rsidRDefault="00BE52D3" w:rsidP="00BE52D3">
            <w:pPr>
              <w:rPr>
                <w:rFonts w:asciiTheme="minorHAnsi" w:eastAsia="Times New Roman" w:hAnsiTheme="minorHAnsi" w:cstheme="minorHAnsi"/>
                <w:color w:val="000000"/>
                <w:sz w:val="18"/>
                <w:szCs w:val="18"/>
                <w:lang w:eastAsia="nb-NO"/>
              </w:rPr>
            </w:pPr>
          </w:p>
        </w:tc>
      </w:tr>
    </w:tbl>
    <w:p w:rsidR="00BE52D3" w:rsidRDefault="00BE52D3">
      <w:pPr>
        <w:rPr>
          <w:rFonts w:ascii="Times New Roman" w:hAnsi="Times New Roman"/>
          <w:sz w:val="24"/>
          <w:szCs w:val="24"/>
        </w:rPr>
      </w:pPr>
    </w:p>
    <w:p w:rsidR="00317ED4" w:rsidRDefault="00317ED4">
      <w:pPr>
        <w:rPr>
          <w:rFonts w:ascii="Times New Roman" w:hAnsi="Times New Roman"/>
          <w:sz w:val="24"/>
          <w:szCs w:val="24"/>
        </w:rPr>
      </w:pPr>
    </w:p>
    <w:p w:rsidR="00317ED4" w:rsidRDefault="00317ED4">
      <w:pPr>
        <w:rPr>
          <w:rFonts w:ascii="Times New Roman" w:hAnsi="Times New Roman"/>
          <w:sz w:val="24"/>
          <w:szCs w:val="24"/>
        </w:rPr>
      </w:pPr>
    </w:p>
    <w:tbl>
      <w:tblPr>
        <w:tblW w:w="9938" w:type="dxa"/>
        <w:tblInd w:w="55" w:type="dxa"/>
        <w:tblCellMar>
          <w:left w:w="70" w:type="dxa"/>
          <w:right w:w="70" w:type="dxa"/>
        </w:tblCellMar>
        <w:tblLook w:val="04A0"/>
      </w:tblPr>
      <w:tblGrid>
        <w:gridCol w:w="3134"/>
        <w:gridCol w:w="1701"/>
        <w:gridCol w:w="1701"/>
        <w:gridCol w:w="1701"/>
        <w:gridCol w:w="1701"/>
      </w:tblGrid>
      <w:tr w:rsidR="00BE52D3" w:rsidRPr="00BE52D3" w:rsidTr="00BE52D3">
        <w:trPr>
          <w:trHeight w:val="390"/>
        </w:trPr>
        <w:tc>
          <w:tcPr>
            <w:tcW w:w="3134" w:type="dxa"/>
            <w:tcBorders>
              <w:top w:val="nil"/>
              <w:left w:val="nil"/>
              <w:bottom w:val="double" w:sz="6" w:space="0" w:color="auto"/>
              <w:right w:val="nil"/>
            </w:tcBorders>
            <w:shd w:val="clear" w:color="auto" w:fill="auto"/>
            <w:noWrap/>
            <w:vAlign w:val="bottom"/>
            <w:hideMark/>
          </w:tcPr>
          <w:p w:rsidR="00BE52D3" w:rsidRPr="00BE52D3" w:rsidRDefault="00BE52D3" w:rsidP="00EE5B25">
            <w:pPr>
              <w:rPr>
                <w:rFonts w:eastAsia="Times New Roman"/>
                <w:color w:val="000000"/>
                <w:sz w:val="28"/>
                <w:szCs w:val="28"/>
                <w:lang w:eastAsia="nb-NO"/>
              </w:rPr>
            </w:pPr>
            <w:r w:rsidRPr="00BE52D3">
              <w:rPr>
                <w:rFonts w:eastAsia="Times New Roman"/>
                <w:color w:val="000000"/>
                <w:sz w:val="28"/>
                <w:szCs w:val="28"/>
                <w:lang w:eastAsia="nb-NO"/>
              </w:rPr>
              <w:lastRenderedPageBreak/>
              <w:t> </w:t>
            </w:r>
          </w:p>
        </w:tc>
        <w:tc>
          <w:tcPr>
            <w:tcW w:w="1701" w:type="dxa"/>
            <w:tcBorders>
              <w:top w:val="nil"/>
              <w:left w:val="nil"/>
              <w:bottom w:val="double" w:sz="6" w:space="0" w:color="auto"/>
              <w:right w:val="nil"/>
            </w:tcBorders>
            <w:shd w:val="clear" w:color="auto" w:fill="auto"/>
            <w:noWrap/>
            <w:vAlign w:val="bottom"/>
            <w:hideMark/>
          </w:tcPr>
          <w:p w:rsidR="00BE52D3" w:rsidRPr="00BE52D3" w:rsidRDefault="00BE52D3" w:rsidP="00BE52D3">
            <w:pPr>
              <w:rPr>
                <w:rFonts w:eastAsia="Times New Roman"/>
                <w:color w:val="000000"/>
                <w:sz w:val="28"/>
                <w:szCs w:val="28"/>
                <w:lang w:eastAsia="nb-NO"/>
              </w:rPr>
            </w:pPr>
            <w:r w:rsidRPr="00BE52D3">
              <w:rPr>
                <w:rFonts w:eastAsia="Times New Roman"/>
                <w:color w:val="000000"/>
                <w:sz w:val="28"/>
                <w:szCs w:val="28"/>
                <w:lang w:eastAsia="nb-NO"/>
              </w:rPr>
              <w:t> </w:t>
            </w:r>
          </w:p>
        </w:tc>
        <w:tc>
          <w:tcPr>
            <w:tcW w:w="1701" w:type="dxa"/>
            <w:tcBorders>
              <w:top w:val="nil"/>
              <w:left w:val="nil"/>
              <w:bottom w:val="double" w:sz="6" w:space="0" w:color="auto"/>
              <w:right w:val="nil"/>
            </w:tcBorders>
            <w:shd w:val="clear" w:color="auto" w:fill="auto"/>
            <w:noWrap/>
            <w:vAlign w:val="bottom"/>
            <w:hideMark/>
          </w:tcPr>
          <w:p w:rsidR="00BE52D3" w:rsidRPr="00BE52D3" w:rsidRDefault="00BE52D3" w:rsidP="00BE52D3">
            <w:pPr>
              <w:rPr>
                <w:rFonts w:eastAsia="Times New Roman"/>
                <w:color w:val="000000"/>
                <w:sz w:val="28"/>
                <w:szCs w:val="28"/>
                <w:lang w:eastAsia="nb-NO"/>
              </w:rPr>
            </w:pPr>
            <w:r w:rsidRPr="00BE52D3">
              <w:rPr>
                <w:rFonts w:eastAsia="Times New Roman"/>
                <w:color w:val="000000"/>
                <w:sz w:val="28"/>
                <w:szCs w:val="28"/>
                <w:lang w:eastAsia="nb-NO"/>
              </w:rPr>
              <w:t> </w:t>
            </w:r>
          </w:p>
        </w:tc>
        <w:tc>
          <w:tcPr>
            <w:tcW w:w="1701" w:type="dxa"/>
            <w:tcBorders>
              <w:top w:val="nil"/>
              <w:left w:val="nil"/>
              <w:bottom w:val="double" w:sz="6" w:space="0" w:color="auto"/>
              <w:right w:val="nil"/>
            </w:tcBorders>
            <w:shd w:val="clear" w:color="auto" w:fill="auto"/>
            <w:noWrap/>
            <w:vAlign w:val="bottom"/>
            <w:hideMark/>
          </w:tcPr>
          <w:p w:rsidR="00BE52D3" w:rsidRPr="00BE52D3" w:rsidRDefault="00BE52D3" w:rsidP="00BE52D3">
            <w:pPr>
              <w:rPr>
                <w:rFonts w:eastAsia="Times New Roman"/>
                <w:color w:val="000000"/>
                <w:sz w:val="28"/>
                <w:szCs w:val="28"/>
                <w:lang w:eastAsia="nb-NO"/>
              </w:rPr>
            </w:pPr>
            <w:r w:rsidRPr="00BE52D3">
              <w:rPr>
                <w:rFonts w:eastAsia="Times New Roman"/>
                <w:color w:val="000000"/>
                <w:sz w:val="28"/>
                <w:szCs w:val="28"/>
                <w:lang w:eastAsia="nb-NO"/>
              </w:rPr>
              <w:t> </w:t>
            </w:r>
          </w:p>
        </w:tc>
        <w:tc>
          <w:tcPr>
            <w:tcW w:w="1701" w:type="dxa"/>
            <w:tcBorders>
              <w:top w:val="nil"/>
              <w:left w:val="nil"/>
              <w:bottom w:val="double" w:sz="6" w:space="0" w:color="auto"/>
              <w:right w:val="nil"/>
            </w:tcBorders>
            <w:shd w:val="clear" w:color="auto" w:fill="auto"/>
            <w:noWrap/>
            <w:vAlign w:val="bottom"/>
            <w:hideMark/>
          </w:tcPr>
          <w:p w:rsidR="00BE52D3" w:rsidRPr="00BE52D3" w:rsidRDefault="00BE52D3" w:rsidP="00BE52D3">
            <w:pPr>
              <w:rPr>
                <w:rFonts w:eastAsia="Times New Roman"/>
                <w:color w:val="000000"/>
                <w:sz w:val="28"/>
                <w:szCs w:val="28"/>
                <w:lang w:eastAsia="nb-NO"/>
              </w:rPr>
            </w:pPr>
            <w:r w:rsidRPr="00BE52D3">
              <w:rPr>
                <w:rFonts w:eastAsia="Times New Roman"/>
                <w:color w:val="000000"/>
                <w:sz w:val="28"/>
                <w:szCs w:val="28"/>
                <w:lang w:eastAsia="nb-NO"/>
              </w:rPr>
              <w:t> </w:t>
            </w:r>
          </w:p>
        </w:tc>
      </w:tr>
      <w:tr w:rsidR="00BE52D3" w:rsidRPr="00BE52D3" w:rsidTr="00BE52D3">
        <w:trPr>
          <w:trHeight w:val="405"/>
        </w:trPr>
        <w:tc>
          <w:tcPr>
            <w:tcW w:w="3134" w:type="dxa"/>
            <w:tcBorders>
              <w:top w:val="nil"/>
              <w:left w:val="nil"/>
              <w:bottom w:val="double" w:sz="6" w:space="0" w:color="auto"/>
              <w:right w:val="nil"/>
            </w:tcBorders>
            <w:shd w:val="clear" w:color="auto" w:fill="auto"/>
            <w:noWrap/>
            <w:vAlign w:val="bottom"/>
            <w:hideMark/>
          </w:tcPr>
          <w:p w:rsidR="00BE52D3" w:rsidRPr="00BE52D3" w:rsidRDefault="00BE52D3" w:rsidP="00BE52D3">
            <w:pPr>
              <w:rPr>
                <w:rFonts w:eastAsia="Times New Roman"/>
                <w:color w:val="000000"/>
                <w:sz w:val="28"/>
                <w:szCs w:val="28"/>
                <w:lang w:eastAsia="nb-NO"/>
              </w:rPr>
            </w:pPr>
            <w:r w:rsidRPr="00BE52D3">
              <w:rPr>
                <w:rFonts w:eastAsia="Times New Roman"/>
                <w:color w:val="000000"/>
                <w:sz w:val="28"/>
                <w:szCs w:val="28"/>
                <w:lang w:eastAsia="nb-NO"/>
              </w:rPr>
              <w:t>BALANSE</w:t>
            </w:r>
          </w:p>
        </w:tc>
        <w:tc>
          <w:tcPr>
            <w:tcW w:w="1701" w:type="dxa"/>
            <w:tcBorders>
              <w:top w:val="nil"/>
              <w:left w:val="nil"/>
              <w:bottom w:val="double" w:sz="6" w:space="0" w:color="auto"/>
              <w:right w:val="nil"/>
            </w:tcBorders>
            <w:shd w:val="clear" w:color="auto" w:fill="auto"/>
            <w:noWrap/>
            <w:vAlign w:val="bottom"/>
            <w:hideMark/>
          </w:tcPr>
          <w:p w:rsidR="00BE52D3" w:rsidRPr="00BE52D3" w:rsidRDefault="00BE52D3" w:rsidP="00BE52D3">
            <w:pPr>
              <w:jc w:val="right"/>
              <w:rPr>
                <w:rFonts w:eastAsia="Times New Roman"/>
                <w:color w:val="000000"/>
                <w:sz w:val="28"/>
                <w:szCs w:val="28"/>
                <w:lang w:eastAsia="nb-NO"/>
              </w:rPr>
            </w:pPr>
            <w:proofErr w:type="gramStart"/>
            <w:r w:rsidRPr="00BE52D3">
              <w:rPr>
                <w:rFonts w:eastAsia="Times New Roman"/>
                <w:color w:val="000000"/>
                <w:sz w:val="28"/>
                <w:szCs w:val="28"/>
                <w:lang w:eastAsia="nb-NO"/>
              </w:rPr>
              <w:t>31.08.2016</w:t>
            </w:r>
            <w:proofErr w:type="gramEnd"/>
          </w:p>
        </w:tc>
        <w:tc>
          <w:tcPr>
            <w:tcW w:w="1701" w:type="dxa"/>
            <w:tcBorders>
              <w:top w:val="nil"/>
              <w:left w:val="nil"/>
              <w:bottom w:val="double" w:sz="6" w:space="0" w:color="auto"/>
              <w:right w:val="nil"/>
            </w:tcBorders>
            <w:shd w:val="clear" w:color="auto" w:fill="auto"/>
            <w:noWrap/>
            <w:vAlign w:val="bottom"/>
            <w:hideMark/>
          </w:tcPr>
          <w:p w:rsidR="00BE52D3" w:rsidRPr="00BE52D3" w:rsidRDefault="00BE52D3" w:rsidP="00BE52D3">
            <w:pPr>
              <w:jc w:val="right"/>
              <w:rPr>
                <w:rFonts w:eastAsia="Times New Roman"/>
                <w:color w:val="000000"/>
                <w:sz w:val="28"/>
                <w:szCs w:val="28"/>
                <w:lang w:eastAsia="nb-NO"/>
              </w:rPr>
            </w:pPr>
            <w:r w:rsidRPr="00BE52D3">
              <w:rPr>
                <w:rFonts w:eastAsia="Times New Roman"/>
                <w:color w:val="000000"/>
                <w:sz w:val="28"/>
                <w:szCs w:val="28"/>
                <w:lang w:eastAsia="nb-NO"/>
              </w:rPr>
              <w:t>2015</w:t>
            </w:r>
          </w:p>
        </w:tc>
        <w:tc>
          <w:tcPr>
            <w:tcW w:w="1701" w:type="dxa"/>
            <w:tcBorders>
              <w:top w:val="nil"/>
              <w:left w:val="nil"/>
              <w:bottom w:val="double" w:sz="6" w:space="0" w:color="auto"/>
              <w:right w:val="nil"/>
            </w:tcBorders>
            <w:shd w:val="clear" w:color="auto" w:fill="auto"/>
            <w:noWrap/>
            <w:vAlign w:val="bottom"/>
            <w:hideMark/>
          </w:tcPr>
          <w:p w:rsidR="00BE52D3" w:rsidRPr="00BE52D3" w:rsidRDefault="00BE52D3" w:rsidP="00BE52D3">
            <w:pPr>
              <w:jc w:val="right"/>
              <w:rPr>
                <w:rFonts w:eastAsia="Times New Roman"/>
                <w:color w:val="000000"/>
                <w:sz w:val="28"/>
                <w:szCs w:val="28"/>
                <w:lang w:eastAsia="nb-NO"/>
              </w:rPr>
            </w:pPr>
            <w:r w:rsidRPr="00BE52D3">
              <w:rPr>
                <w:rFonts w:eastAsia="Times New Roman"/>
                <w:color w:val="000000"/>
                <w:sz w:val="28"/>
                <w:szCs w:val="28"/>
                <w:lang w:eastAsia="nb-NO"/>
              </w:rPr>
              <w:t>2014</w:t>
            </w:r>
          </w:p>
        </w:tc>
        <w:tc>
          <w:tcPr>
            <w:tcW w:w="1701" w:type="dxa"/>
            <w:tcBorders>
              <w:top w:val="nil"/>
              <w:left w:val="nil"/>
              <w:bottom w:val="double" w:sz="6" w:space="0" w:color="auto"/>
              <w:right w:val="nil"/>
            </w:tcBorders>
            <w:shd w:val="clear" w:color="auto" w:fill="auto"/>
            <w:noWrap/>
            <w:vAlign w:val="bottom"/>
            <w:hideMark/>
          </w:tcPr>
          <w:p w:rsidR="00BE52D3" w:rsidRPr="00BE52D3" w:rsidRDefault="00BE52D3" w:rsidP="00BE52D3">
            <w:pPr>
              <w:jc w:val="right"/>
              <w:rPr>
                <w:rFonts w:eastAsia="Times New Roman"/>
                <w:color w:val="000000"/>
                <w:sz w:val="28"/>
                <w:szCs w:val="28"/>
                <w:lang w:eastAsia="nb-NO"/>
              </w:rPr>
            </w:pPr>
            <w:r w:rsidRPr="00BE52D3">
              <w:rPr>
                <w:rFonts w:eastAsia="Times New Roman"/>
                <w:color w:val="000000"/>
                <w:sz w:val="28"/>
                <w:szCs w:val="28"/>
                <w:lang w:eastAsia="nb-NO"/>
              </w:rPr>
              <w:t>2013</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Eiendeler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Anleggsmidler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Kunst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12 500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12 500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12 500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12 500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Datautstyr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27 603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39 221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22 893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4 798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Webutvikling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253 841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172 039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51 837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82 843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Bil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125 000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Sum anleggsmidler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293 944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223 760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87 230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225 141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Omløpsmidler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Kundefordringer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205 477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114 351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91 350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105 504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Andre fordringer/forskudd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176 293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23 615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3 856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76 739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Forskuddsbetalte kostnader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61 562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28 012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273 046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159 698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Mellomregning PS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6 750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6 750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13 625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13 625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roofErr w:type="spellStart"/>
            <w:proofErr w:type="gramStart"/>
            <w:r w:rsidRPr="00BE52D3">
              <w:rPr>
                <w:rFonts w:eastAsia="Times New Roman"/>
                <w:color w:val="000000"/>
                <w:lang w:eastAsia="nb-NO"/>
              </w:rPr>
              <w:t>Mellomrening</w:t>
            </w:r>
            <w:proofErr w:type="spellEnd"/>
            <w:r w:rsidRPr="00BE52D3">
              <w:rPr>
                <w:rFonts w:eastAsia="Times New Roman"/>
                <w:color w:val="000000"/>
                <w:lang w:eastAsia="nb-NO"/>
              </w:rPr>
              <w:t xml:space="preserve">  VF</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40 740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50 733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40 740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Mellomregning kopivederlag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113 064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roofErr w:type="spellStart"/>
            <w:r w:rsidRPr="00BE52D3">
              <w:rPr>
                <w:rFonts w:eastAsia="Times New Roman"/>
                <w:color w:val="000000"/>
                <w:lang w:eastAsia="nb-NO"/>
              </w:rPr>
              <w:t>Særvilkår</w:t>
            </w:r>
            <w:proofErr w:type="spellEnd"/>
            <w:r w:rsidRPr="00BE52D3">
              <w:rPr>
                <w:rFonts w:eastAsia="Times New Roman"/>
                <w:color w:val="000000"/>
                <w:lang w:eastAsia="nb-NO"/>
              </w:rPr>
              <w:t xml:space="preserve"> / verdipapirer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6 206 227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3 168 657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3 457 755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3 169 694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Depositumskonto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603 974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603 974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603 974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557 822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Kasse / bank</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905 344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1 470 170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958 572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1 059 192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Sum omløpsmidler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8 206 367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5 466 262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5 442 918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5 255 338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Sum eiendeler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8 500 311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5 690 022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5 530 148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5 480 479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Gjeld / Egenkapital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Egenkapital pr 01.01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4 938 511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4 870 017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4 639 669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4 971 026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Årets resultat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645 925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68 494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230 348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-331 357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Egenkapital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5 584 436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4 938 511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4 870 017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 xml:space="preserve">            4 639 669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Langsiktig gjeld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xml:space="preserve">                            -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Leverandørgjeld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-3 710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100 622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41 799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xml:space="preserve">               223 768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Kortsiktig gjeld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18 323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1 039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16 075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xml:space="preserve">                  17 335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Mellomregning OR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7 582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40 703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30 850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xml:space="preserve">                    2 495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Mellomregning kopivederlag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xml:space="preserve">                            -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Skyldig skattetrekk</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193 602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156 031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150 449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xml:space="preserve">               146 749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Offentlige avgifter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113 222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127 676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118 699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xml:space="preserve">               164 267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Avsatte feriepenger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208 585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325 438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302 259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xml:space="preserve">               286 196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Periodiserte kontingenter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2 378 271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r w:rsidRPr="00BE52D3">
              <w:rPr>
                <w:rFonts w:eastAsia="Times New Roman"/>
                <w:color w:val="000000"/>
                <w:lang w:eastAsia="nb-NO"/>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r w:rsidRPr="00BE52D3">
              <w:rPr>
                <w:rFonts w:eastAsia="Times New Roman"/>
                <w:color w:val="000000"/>
                <w:lang w:eastAsia="nb-NO"/>
              </w:rPr>
              <w:t xml:space="preserve">                            -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Sum gjeld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2 915 875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751 509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660 131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 xml:space="preserve">               840 810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Sum gjeld og egenkapital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8 500 311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5 690 020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b/>
                <w:bCs/>
                <w:color w:val="000000"/>
                <w:lang w:eastAsia="nb-NO"/>
              </w:rPr>
            </w:pPr>
            <w:r w:rsidRPr="00BE52D3">
              <w:rPr>
                <w:rFonts w:eastAsia="Times New Roman"/>
                <w:b/>
                <w:bCs/>
                <w:color w:val="000000"/>
                <w:lang w:eastAsia="nb-NO"/>
              </w:rPr>
              <w:t xml:space="preserve">            5 530 148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b/>
                <w:bCs/>
                <w:color w:val="000000"/>
                <w:lang w:eastAsia="nb-NO"/>
              </w:rPr>
            </w:pPr>
            <w:r w:rsidRPr="00BE52D3">
              <w:rPr>
                <w:rFonts w:eastAsia="Times New Roman"/>
                <w:b/>
                <w:bCs/>
                <w:color w:val="000000"/>
                <w:lang w:eastAsia="nb-NO"/>
              </w:rPr>
              <w:t xml:space="preserve">            5 480 479 </w:t>
            </w:r>
          </w:p>
        </w:tc>
      </w:tr>
      <w:tr w:rsidR="00BE52D3" w:rsidRPr="00BE52D3" w:rsidTr="00EE5B25">
        <w:trPr>
          <w:trHeight w:val="284"/>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jc w:val="right"/>
              <w:rPr>
                <w:rFonts w:eastAsia="Times New Roman"/>
                <w:color w:val="000000"/>
                <w:lang w:eastAsia="nb-NO"/>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2D3" w:rsidRPr="00BE52D3" w:rsidRDefault="00BE52D3" w:rsidP="00BE52D3">
            <w:pPr>
              <w:rPr>
                <w:rFonts w:eastAsia="Times New Roman"/>
                <w:color w:val="000000"/>
                <w:lang w:eastAsia="nb-NO"/>
              </w:rPr>
            </w:pPr>
          </w:p>
        </w:tc>
      </w:tr>
    </w:tbl>
    <w:p w:rsidR="00317ED4" w:rsidRPr="00BE52D3" w:rsidRDefault="00317ED4">
      <w:pPr>
        <w:rPr>
          <w:rFonts w:ascii="Times New Roman" w:hAnsi="Times New Roman"/>
        </w:rPr>
      </w:pPr>
    </w:p>
    <w:p w:rsidR="00317ED4" w:rsidRPr="00BE52D3" w:rsidRDefault="00317ED4">
      <w:pPr>
        <w:rPr>
          <w:rFonts w:ascii="Times New Roman" w:hAnsi="Times New Roman"/>
        </w:rPr>
      </w:pPr>
    </w:p>
    <w:p w:rsidR="00CB0C26" w:rsidRPr="00BE52D3" w:rsidRDefault="00CB0C26">
      <w:pPr>
        <w:rPr>
          <w:rFonts w:ascii="Times New Roman" w:hAnsi="Times New Roman"/>
        </w:rPr>
      </w:pPr>
      <w:r w:rsidRPr="00BE52D3">
        <w:rPr>
          <w:rFonts w:ascii="Times New Roman" w:hAnsi="Times New Roman"/>
        </w:rPr>
        <w:t xml:space="preserve">                                                                            </w:t>
      </w:r>
    </w:p>
    <w:sectPr w:rsidR="00CB0C26" w:rsidRPr="00BE52D3" w:rsidSect="004F153E">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97C"/>
    <w:multiLevelType w:val="hybridMultilevel"/>
    <w:tmpl w:val="F0F6C666"/>
    <w:lvl w:ilvl="0" w:tplc="ACF82594">
      <w:start w:val="74"/>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979E8"/>
    <w:rsid w:val="00004621"/>
    <w:rsid w:val="000102F2"/>
    <w:rsid w:val="000231E3"/>
    <w:rsid w:val="00024E32"/>
    <w:rsid w:val="00040DC5"/>
    <w:rsid w:val="00040F92"/>
    <w:rsid w:val="00052A4B"/>
    <w:rsid w:val="00054CA2"/>
    <w:rsid w:val="000561B9"/>
    <w:rsid w:val="00060E07"/>
    <w:rsid w:val="00066447"/>
    <w:rsid w:val="00074773"/>
    <w:rsid w:val="00077FDA"/>
    <w:rsid w:val="000A4B72"/>
    <w:rsid w:val="000A6AF7"/>
    <w:rsid w:val="000A6DC5"/>
    <w:rsid w:val="000B6F26"/>
    <w:rsid w:val="000D46F6"/>
    <w:rsid w:val="000D59A9"/>
    <w:rsid w:val="000E0CD1"/>
    <w:rsid w:val="000F325C"/>
    <w:rsid w:val="000F4B22"/>
    <w:rsid w:val="000F69BE"/>
    <w:rsid w:val="001048BD"/>
    <w:rsid w:val="0011194D"/>
    <w:rsid w:val="001436FA"/>
    <w:rsid w:val="001711F6"/>
    <w:rsid w:val="001979E8"/>
    <w:rsid w:val="001A1A8F"/>
    <w:rsid w:val="001C3607"/>
    <w:rsid w:val="001C7C14"/>
    <w:rsid w:val="001D080E"/>
    <w:rsid w:val="002343CB"/>
    <w:rsid w:val="00257E70"/>
    <w:rsid w:val="002B3A01"/>
    <w:rsid w:val="002B6504"/>
    <w:rsid w:val="002C4DFB"/>
    <w:rsid w:val="002D1A22"/>
    <w:rsid w:val="002D3EA6"/>
    <w:rsid w:val="002E693E"/>
    <w:rsid w:val="00305710"/>
    <w:rsid w:val="00317ED4"/>
    <w:rsid w:val="003260A1"/>
    <w:rsid w:val="00373792"/>
    <w:rsid w:val="00395B10"/>
    <w:rsid w:val="003C5500"/>
    <w:rsid w:val="003F5815"/>
    <w:rsid w:val="00403553"/>
    <w:rsid w:val="004048D4"/>
    <w:rsid w:val="00405754"/>
    <w:rsid w:val="00407FD3"/>
    <w:rsid w:val="00416DCB"/>
    <w:rsid w:val="00443C58"/>
    <w:rsid w:val="004744B2"/>
    <w:rsid w:val="00474D79"/>
    <w:rsid w:val="004A235E"/>
    <w:rsid w:val="004B560A"/>
    <w:rsid w:val="004D07EB"/>
    <w:rsid w:val="004D3C62"/>
    <w:rsid w:val="004D6EF8"/>
    <w:rsid w:val="004E3CDA"/>
    <w:rsid w:val="004E3F5A"/>
    <w:rsid w:val="004F153E"/>
    <w:rsid w:val="00500988"/>
    <w:rsid w:val="005067B7"/>
    <w:rsid w:val="00507ADE"/>
    <w:rsid w:val="00551458"/>
    <w:rsid w:val="00566FE4"/>
    <w:rsid w:val="0057124C"/>
    <w:rsid w:val="0058391E"/>
    <w:rsid w:val="005A70AE"/>
    <w:rsid w:val="005D3261"/>
    <w:rsid w:val="005D3D48"/>
    <w:rsid w:val="005D449E"/>
    <w:rsid w:val="005D4E74"/>
    <w:rsid w:val="005E438C"/>
    <w:rsid w:val="00634934"/>
    <w:rsid w:val="00654D37"/>
    <w:rsid w:val="0066147F"/>
    <w:rsid w:val="006900D3"/>
    <w:rsid w:val="006A3D33"/>
    <w:rsid w:val="006B74D2"/>
    <w:rsid w:val="006C28C0"/>
    <w:rsid w:val="006C518E"/>
    <w:rsid w:val="006D38AA"/>
    <w:rsid w:val="006E24C6"/>
    <w:rsid w:val="006F77F8"/>
    <w:rsid w:val="007459F7"/>
    <w:rsid w:val="00770742"/>
    <w:rsid w:val="00774843"/>
    <w:rsid w:val="0077712C"/>
    <w:rsid w:val="0079613F"/>
    <w:rsid w:val="007A7C68"/>
    <w:rsid w:val="007B5F9D"/>
    <w:rsid w:val="007C507C"/>
    <w:rsid w:val="007C706A"/>
    <w:rsid w:val="007E5792"/>
    <w:rsid w:val="007E70E8"/>
    <w:rsid w:val="007F5B95"/>
    <w:rsid w:val="00806BB7"/>
    <w:rsid w:val="00844B4A"/>
    <w:rsid w:val="00883EDC"/>
    <w:rsid w:val="00887460"/>
    <w:rsid w:val="00895375"/>
    <w:rsid w:val="008A17DF"/>
    <w:rsid w:val="008A1C83"/>
    <w:rsid w:val="008D22B6"/>
    <w:rsid w:val="008D2B0A"/>
    <w:rsid w:val="008E00F4"/>
    <w:rsid w:val="008E78DE"/>
    <w:rsid w:val="00900764"/>
    <w:rsid w:val="009201DE"/>
    <w:rsid w:val="0093271F"/>
    <w:rsid w:val="009374AA"/>
    <w:rsid w:val="00970BE3"/>
    <w:rsid w:val="009912E3"/>
    <w:rsid w:val="0099153E"/>
    <w:rsid w:val="009959DB"/>
    <w:rsid w:val="009A560E"/>
    <w:rsid w:val="009A6132"/>
    <w:rsid w:val="009B1797"/>
    <w:rsid w:val="009B64BD"/>
    <w:rsid w:val="009E0031"/>
    <w:rsid w:val="00A15A5D"/>
    <w:rsid w:val="00A23633"/>
    <w:rsid w:val="00A46DD5"/>
    <w:rsid w:val="00A47719"/>
    <w:rsid w:val="00A539ED"/>
    <w:rsid w:val="00A66998"/>
    <w:rsid w:val="00A75A7B"/>
    <w:rsid w:val="00A9421E"/>
    <w:rsid w:val="00AA0F0A"/>
    <w:rsid w:val="00AC1375"/>
    <w:rsid w:val="00AC6DD9"/>
    <w:rsid w:val="00AD50A1"/>
    <w:rsid w:val="00AF405A"/>
    <w:rsid w:val="00B00CD4"/>
    <w:rsid w:val="00B00E26"/>
    <w:rsid w:val="00B11171"/>
    <w:rsid w:val="00B20E85"/>
    <w:rsid w:val="00B23E46"/>
    <w:rsid w:val="00B46BAA"/>
    <w:rsid w:val="00B46EFC"/>
    <w:rsid w:val="00B741BD"/>
    <w:rsid w:val="00B868E9"/>
    <w:rsid w:val="00B97290"/>
    <w:rsid w:val="00BB7565"/>
    <w:rsid w:val="00BE52D3"/>
    <w:rsid w:val="00BF139E"/>
    <w:rsid w:val="00BF7B13"/>
    <w:rsid w:val="00C10B73"/>
    <w:rsid w:val="00C41E8F"/>
    <w:rsid w:val="00C750E9"/>
    <w:rsid w:val="00C94621"/>
    <w:rsid w:val="00CB0C26"/>
    <w:rsid w:val="00CB3758"/>
    <w:rsid w:val="00CB3BCA"/>
    <w:rsid w:val="00CD6B99"/>
    <w:rsid w:val="00D05925"/>
    <w:rsid w:val="00D237E1"/>
    <w:rsid w:val="00D24D54"/>
    <w:rsid w:val="00D27F23"/>
    <w:rsid w:val="00D30A9B"/>
    <w:rsid w:val="00D36056"/>
    <w:rsid w:val="00D41128"/>
    <w:rsid w:val="00D539F2"/>
    <w:rsid w:val="00D56728"/>
    <w:rsid w:val="00D60DF3"/>
    <w:rsid w:val="00D60EFB"/>
    <w:rsid w:val="00D916C3"/>
    <w:rsid w:val="00DB2AE9"/>
    <w:rsid w:val="00DC01D2"/>
    <w:rsid w:val="00DD00AF"/>
    <w:rsid w:val="00DD4F40"/>
    <w:rsid w:val="00DE1918"/>
    <w:rsid w:val="00E10D30"/>
    <w:rsid w:val="00E135BC"/>
    <w:rsid w:val="00E3496C"/>
    <w:rsid w:val="00E745DF"/>
    <w:rsid w:val="00E97204"/>
    <w:rsid w:val="00EB488C"/>
    <w:rsid w:val="00EC3586"/>
    <w:rsid w:val="00ED2A02"/>
    <w:rsid w:val="00EE5B25"/>
    <w:rsid w:val="00EE61E1"/>
    <w:rsid w:val="00F03A28"/>
    <w:rsid w:val="00F03DF2"/>
    <w:rsid w:val="00F27C66"/>
    <w:rsid w:val="00F36A81"/>
    <w:rsid w:val="00F46530"/>
    <w:rsid w:val="00F96E2F"/>
    <w:rsid w:val="00FA057F"/>
    <w:rsid w:val="00FA5A76"/>
    <w:rsid w:val="00FC0292"/>
    <w:rsid w:val="00FE47B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7A7C68"/>
    <w:rPr>
      <w:rFonts w:ascii="Tahoma" w:hAnsi="Tahoma"/>
      <w:sz w:val="16"/>
      <w:szCs w:val="16"/>
    </w:rPr>
  </w:style>
  <w:style w:type="character" w:customStyle="1" w:styleId="BobletekstTegn">
    <w:name w:val="Bobletekst Tegn"/>
    <w:link w:val="Bobletekst"/>
    <w:uiPriority w:val="99"/>
    <w:semiHidden/>
    <w:rsid w:val="007A7C68"/>
    <w:rPr>
      <w:rFonts w:ascii="Tahoma" w:hAnsi="Tahoma" w:cs="Tahoma"/>
      <w:sz w:val="16"/>
      <w:szCs w:val="16"/>
      <w:lang w:eastAsia="en-US"/>
    </w:rPr>
  </w:style>
  <w:style w:type="paragraph" w:styleId="Listeavsnitt">
    <w:name w:val="List Paragraph"/>
    <w:basedOn w:val="Normal"/>
    <w:uiPriority w:val="34"/>
    <w:qFormat/>
    <w:rsid w:val="000A6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3"/>
    <w:rPr>
      <w:sz w:val="22"/>
      <w:szCs w:val="22"/>
      <w:lang w:eastAsia="en-US"/>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7A7C68"/>
    <w:rPr>
      <w:rFonts w:ascii="Tahoma" w:hAnsi="Tahoma"/>
      <w:sz w:val="16"/>
      <w:szCs w:val="16"/>
    </w:rPr>
  </w:style>
  <w:style w:type="character" w:customStyle="1" w:styleId="BobletekstTegn">
    <w:name w:val="Bobletekst Tegn"/>
    <w:link w:val="Bobletekst"/>
    <w:uiPriority w:val="99"/>
    <w:semiHidden/>
    <w:rsid w:val="007A7C68"/>
    <w:rPr>
      <w:rFonts w:ascii="Tahoma" w:hAnsi="Tahoma" w:cs="Tahoma"/>
      <w:sz w:val="16"/>
      <w:szCs w:val="16"/>
      <w:lang w:eastAsia="en-US"/>
    </w:rPr>
  </w:style>
  <w:style w:type="paragraph" w:styleId="Listeavsnitt">
    <w:name w:val="List Paragraph"/>
    <w:basedOn w:val="Normal"/>
    <w:uiPriority w:val="34"/>
    <w:qFormat/>
    <w:rsid w:val="000A6AF7"/>
    <w:pPr>
      <w:ind w:left="720"/>
      <w:contextualSpacing/>
    </w:pPr>
  </w:style>
</w:styles>
</file>

<file path=word/webSettings.xml><?xml version="1.0" encoding="utf-8"?>
<w:webSettings xmlns:r="http://schemas.openxmlformats.org/officeDocument/2006/relationships" xmlns:w="http://schemas.openxmlformats.org/wordprocessingml/2006/main">
  <w:divs>
    <w:div w:id="67466853">
      <w:bodyDiv w:val="1"/>
      <w:marLeft w:val="0"/>
      <w:marRight w:val="0"/>
      <w:marTop w:val="0"/>
      <w:marBottom w:val="0"/>
      <w:divBdr>
        <w:top w:val="none" w:sz="0" w:space="0" w:color="auto"/>
        <w:left w:val="none" w:sz="0" w:space="0" w:color="auto"/>
        <w:bottom w:val="none" w:sz="0" w:space="0" w:color="auto"/>
        <w:right w:val="none" w:sz="0" w:space="0" w:color="auto"/>
      </w:divBdr>
    </w:div>
    <w:div w:id="154348635">
      <w:bodyDiv w:val="1"/>
      <w:marLeft w:val="0"/>
      <w:marRight w:val="0"/>
      <w:marTop w:val="0"/>
      <w:marBottom w:val="0"/>
      <w:divBdr>
        <w:top w:val="none" w:sz="0" w:space="0" w:color="auto"/>
        <w:left w:val="none" w:sz="0" w:space="0" w:color="auto"/>
        <w:bottom w:val="none" w:sz="0" w:space="0" w:color="auto"/>
        <w:right w:val="none" w:sz="0" w:space="0" w:color="auto"/>
      </w:divBdr>
    </w:div>
    <w:div w:id="441415435">
      <w:bodyDiv w:val="1"/>
      <w:marLeft w:val="0"/>
      <w:marRight w:val="0"/>
      <w:marTop w:val="0"/>
      <w:marBottom w:val="0"/>
      <w:divBdr>
        <w:top w:val="none" w:sz="0" w:space="0" w:color="auto"/>
        <w:left w:val="none" w:sz="0" w:space="0" w:color="auto"/>
        <w:bottom w:val="none" w:sz="0" w:space="0" w:color="auto"/>
        <w:right w:val="none" w:sz="0" w:space="0" w:color="auto"/>
      </w:divBdr>
    </w:div>
    <w:div w:id="575356404">
      <w:bodyDiv w:val="1"/>
      <w:marLeft w:val="0"/>
      <w:marRight w:val="0"/>
      <w:marTop w:val="0"/>
      <w:marBottom w:val="0"/>
      <w:divBdr>
        <w:top w:val="none" w:sz="0" w:space="0" w:color="auto"/>
        <w:left w:val="none" w:sz="0" w:space="0" w:color="auto"/>
        <w:bottom w:val="none" w:sz="0" w:space="0" w:color="auto"/>
        <w:right w:val="none" w:sz="0" w:space="0" w:color="auto"/>
      </w:divBdr>
    </w:div>
    <w:div w:id="588662980">
      <w:bodyDiv w:val="1"/>
      <w:marLeft w:val="0"/>
      <w:marRight w:val="0"/>
      <w:marTop w:val="0"/>
      <w:marBottom w:val="0"/>
      <w:divBdr>
        <w:top w:val="none" w:sz="0" w:space="0" w:color="auto"/>
        <w:left w:val="none" w:sz="0" w:space="0" w:color="auto"/>
        <w:bottom w:val="none" w:sz="0" w:space="0" w:color="auto"/>
        <w:right w:val="none" w:sz="0" w:space="0" w:color="auto"/>
      </w:divBdr>
    </w:div>
    <w:div w:id="695424083">
      <w:bodyDiv w:val="1"/>
      <w:marLeft w:val="0"/>
      <w:marRight w:val="0"/>
      <w:marTop w:val="0"/>
      <w:marBottom w:val="0"/>
      <w:divBdr>
        <w:top w:val="none" w:sz="0" w:space="0" w:color="auto"/>
        <w:left w:val="none" w:sz="0" w:space="0" w:color="auto"/>
        <w:bottom w:val="none" w:sz="0" w:space="0" w:color="auto"/>
        <w:right w:val="none" w:sz="0" w:space="0" w:color="auto"/>
      </w:divBdr>
    </w:div>
    <w:div w:id="818233076">
      <w:bodyDiv w:val="1"/>
      <w:marLeft w:val="0"/>
      <w:marRight w:val="0"/>
      <w:marTop w:val="0"/>
      <w:marBottom w:val="0"/>
      <w:divBdr>
        <w:top w:val="none" w:sz="0" w:space="0" w:color="auto"/>
        <w:left w:val="none" w:sz="0" w:space="0" w:color="auto"/>
        <w:bottom w:val="none" w:sz="0" w:space="0" w:color="auto"/>
        <w:right w:val="none" w:sz="0" w:space="0" w:color="auto"/>
      </w:divBdr>
    </w:div>
    <w:div w:id="904340745">
      <w:bodyDiv w:val="1"/>
      <w:marLeft w:val="0"/>
      <w:marRight w:val="0"/>
      <w:marTop w:val="0"/>
      <w:marBottom w:val="0"/>
      <w:divBdr>
        <w:top w:val="none" w:sz="0" w:space="0" w:color="auto"/>
        <w:left w:val="none" w:sz="0" w:space="0" w:color="auto"/>
        <w:bottom w:val="none" w:sz="0" w:space="0" w:color="auto"/>
        <w:right w:val="none" w:sz="0" w:space="0" w:color="auto"/>
      </w:divBdr>
    </w:div>
    <w:div w:id="976909285">
      <w:bodyDiv w:val="1"/>
      <w:marLeft w:val="0"/>
      <w:marRight w:val="0"/>
      <w:marTop w:val="0"/>
      <w:marBottom w:val="0"/>
      <w:divBdr>
        <w:top w:val="none" w:sz="0" w:space="0" w:color="auto"/>
        <w:left w:val="none" w:sz="0" w:space="0" w:color="auto"/>
        <w:bottom w:val="none" w:sz="0" w:space="0" w:color="auto"/>
        <w:right w:val="none" w:sz="0" w:space="0" w:color="auto"/>
      </w:divBdr>
    </w:div>
    <w:div w:id="1049379062">
      <w:bodyDiv w:val="1"/>
      <w:marLeft w:val="0"/>
      <w:marRight w:val="0"/>
      <w:marTop w:val="0"/>
      <w:marBottom w:val="0"/>
      <w:divBdr>
        <w:top w:val="none" w:sz="0" w:space="0" w:color="auto"/>
        <w:left w:val="none" w:sz="0" w:space="0" w:color="auto"/>
        <w:bottom w:val="none" w:sz="0" w:space="0" w:color="auto"/>
        <w:right w:val="none" w:sz="0" w:space="0" w:color="auto"/>
      </w:divBdr>
    </w:div>
    <w:div w:id="1091851036">
      <w:bodyDiv w:val="1"/>
      <w:marLeft w:val="0"/>
      <w:marRight w:val="0"/>
      <w:marTop w:val="0"/>
      <w:marBottom w:val="0"/>
      <w:divBdr>
        <w:top w:val="none" w:sz="0" w:space="0" w:color="auto"/>
        <w:left w:val="none" w:sz="0" w:space="0" w:color="auto"/>
        <w:bottom w:val="none" w:sz="0" w:space="0" w:color="auto"/>
        <w:right w:val="none" w:sz="0" w:space="0" w:color="auto"/>
      </w:divBdr>
    </w:div>
    <w:div w:id="1291284081">
      <w:bodyDiv w:val="1"/>
      <w:marLeft w:val="0"/>
      <w:marRight w:val="0"/>
      <w:marTop w:val="0"/>
      <w:marBottom w:val="0"/>
      <w:divBdr>
        <w:top w:val="none" w:sz="0" w:space="0" w:color="auto"/>
        <w:left w:val="none" w:sz="0" w:space="0" w:color="auto"/>
        <w:bottom w:val="none" w:sz="0" w:space="0" w:color="auto"/>
        <w:right w:val="none" w:sz="0" w:space="0" w:color="auto"/>
      </w:divBdr>
    </w:div>
    <w:div w:id="1476873929">
      <w:bodyDiv w:val="1"/>
      <w:marLeft w:val="0"/>
      <w:marRight w:val="0"/>
      <w:marTop w:val="0"/>
      <w:marBottom w:val="0"/>
      <w:divBdr>
        <w:top w:val="none" w:sz="0" w:space="0" w:color="auto"/>
        <w:left w:val="none" w:sz="0" w:space="0" w:color="auto"/>
        <w:bottom w:val="none" w:sz="0" w:space="0" w:color="auto"/>
        <w:right w:val="none" w:sz="0" w:space="0" w:color="auto"/>
      </w:divBdr>
    </w:div>
    <w:div w:id="1504972189">
      <w:bodyDiv w:val="1"/>
      <w:marLeft w:val="0"/>
      <w:marRight w:val="0"/>
      <w:marTop w:val="0"/>
      <w:marBottom w:val="0"/>
      <w:divBdr>
        <w:top w:val="none" w:sz="0" w:space="0" w:color="auto"/>
        <w:left w:val="none" w:sz="0" w:space="0" w:color="auto"/>
        <w:bottom w:val="none" w:sz="0" w:space="0" w:color="auto"/>
        <w:right w:val="none" w:sz="0" w:space="0" w:color="auto"/>
      </w:divBdr>
    </w:div>
    <w:div w:id="1516074895">
      <w:bodyDiv w:val="1"/>
      <w:marLeft w:val="0"/>
      <w:marRight w:val="0"/>
      <w:marTop w:val="0"/>
      <w:marBottom w:val="0"/>
      <w:divBdr>
        <w:top w:val="none" w:sz="0" w:space="0" w:color="auto"/>
        <w:left w:val="none" w:sz="0" w:space="0" w:color="auto"/>
        <w:bottom w:val="none" w:sz="0" w:space="0" w:color="auto"/>
        <w:right w:val="none" w:sz="0" w:space="0" w:color="auto"/>
      </w:divBdr>
    </w:div>
    <w:div w:id="1788503269">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2027246706">
      <w:bodyDiv w:val="1"/>
      <w:marLeft w:val="0"/>
      <w:marRight w:val="0"/>
      <w:marTop w:val="0"/>
      <w:marBottom w:val="0"/>
      <w:divBdr>
        <w:top w:val="none" w:sz="0" w:space="0" w:color="auto"/>
        <w:left w:val="none" w:sz="0" w:space="0" w:color="auto"/>
        <w:bottom w:val="none" w:sz="0" w:space="0" w:color="auto"/>
        <w:right w:val="none" w:sz="0" w:space="0" w:color="auto"/>
      </w:divBdr>
    </w:div>
    <w:div w:id="2027519885">
      <w:bodyDiv w:val="1"/>
      <w:marLeft w:val="0"/>
      <w:marRight w:val="0"/>
      <w:marTop w:val="0"/>
      <w:marBottom w:val="0"/>
      <w:divBdr>
        <w:top w:val="none" w:sz="0" w:space="0" w:color="auto"/>
        <w:left w:val="none" w:sz="0" w:space="0" w:color="auto"/>
        <w:bottom w:val="none" w:sz="0" w:space="0" w:color="auto"/>
        <w:right w:val="none" w:sz="0" w:space="0" w:color="auto"/>
      </w:divBdr>
    </w:div>
    <w:div w:id="2087917480">
      <w:bodyDiv w:val="1"/>
      <w:marLeft w:val="0"/>
      <w:marRight w:val="0"/>
      <w:marTop w:val="0"/>
      <w:marBottom w:val="0"/>
      <w:divBdr>
        <w:top w:val="none" w:sz="0" w:space="0" w:color="auto"/>
        <w:left w:val="none" w:sz="0" w:space="0" w:color="auto"/>
        <w:bottom w:val="none" w:sz="0" w:space="0" w:color="auto"/>
        <w:right w:val="none" w:sz="0" w:space="0" w:color="auto"/>
      </w:divBdr>
    </w:div>
    <w:div w:id="21465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2516</Words>
  <Characters>13340</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2</cp:revision>
  <cp:lastPrinted>2016-05-09T09:45:00Z</cp:lastPrinted>
  <dcterms:created xsi:type="dcterms:W3CDTF">2016-09-16T07:29:00Z</dcterms:created>
  <dcterms:modified xsi:type="dcterms:W3CDTF">2016-09-16T07:29:00Z</dcterms:modified>
</cp:coreProperties>
</file>